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32"/>
          <w:szCs w:val="32"/>
          <w:color w:val="231F20"/>
        </w:rPr>
        <w:t xml:space="preserve">Basisinformationsblatt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4608195</wp:posOffset>
            </wp:positionH>
            <wp:positionV relativeFrom="paragraph">
              <wp:posOffset>-231140</wp:posOffset>
            </wp:positionV>
            <wp:extent cx="2117090" cy="46799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7090" cy="467995"/>
                    </a:xfrm>
                    <a:prstGeom prst="rect">
                      <a:avLst/>
                    </a:prstGeom>
                    <a:noFill/>
                  </pic:spPr>
                </pic:pic>
              </a:graphicData>
            </a:graphic>
          </wp:anchor>
        </w:drawing>
      </w:r>
    </w:p>
    <w:p>
      <w:pPr>
        <w:spacing w:after="0" w:line="89"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Zweck</w:t>
      </w:r>
    </w:p>
    <w:p>
      <w:pPr>
        <w:spacing w:after="0" w:line="112" w:lineRule="exact"/>
        <w:rPr>
          <w:sz w:val="24"/>
          <w:szCs w:val="24"/>
          <w:color w:val="auto"/>
        </w:rPr>
      </w:pPr>
    </w:p>
    <w:p>
      <w:pPr xmlns:w="http://schemas.openxmlformats.org/wordprocessingml/2006/main">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In diesem Dokument finden Sie wichtige Informationen zu diesem Investmentfonds.</w:t>
      </w:r>
      <w:r>
        <w:rPr xmlns:w="http://schemas.openxmlformats.org/wordprocessingml/2006/main">
          <w:rFonts w:ascii="Arial" w:cs="Arial" w:eastAsia="Arial" w:hAnsi="Arial"/>
          <w:sz w:val="16"/>
          <w:szCs w:val="16"/>
          <w:color w:val="231F20"/>
        </w:rPr>
        <w:t xml:space="preserve"> Es ist kein Marketingmaterial.</w:t>
      </w:r>
      <w:r>
        <w:rPr xmlns:w="http://schemas.openxmlformats.org/wordprocessingml/2006/main">
          <w:rFonts w:ascii="Arial" w:cs="Arial" w:eastAsia="Arial" w:hAnsi="Arial"/>
          <w:sz w:val="16"/>
          <w:szCs w:val="16"/>
          <w:color w:val="231F20"/>
        </w:rPr>
        <w:t xml:space="preserve"> Die Informationen sind gesetzlich vorgeschrieben, um Ihnen zu helfen, die Art, Risiken, Kosten, potenziellen Gewinne und Verluste dieses Fonds zu verstehen und ihn mit anderen Fonds zu vergleichen.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-18415</wp:posOffset>
            </wp:positionH>
            <wp:positionV relativeFrom="paragraph">
              <wp:posOffset>-27305</wp:posOffset>
            </wp:positionV>
            <wp:extent cx="7094220" cy="444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5"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Produkt</w:t>
      </w:r>
    </w:p>
    <w:p>
      <w:pPr>
        <w:spacing w:after="0" w:line="108"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Produkt:</w:t>
      </w:r>
      <w:r>
        <w:rPr xmlns:w="http://schemas.openxmlformats.org/wordprocessingml/2006/main">
          <w:rFonts w:ascii="Arial" w:cs="Arial" w:eastAsia="Arial" w:hAnsi="Arial"/>
          <w:sz w:val="16"/>
          <w:szCs w:val="16"/>
          <w:color w:val="231F20"/>
        </w:rPr>
        <w:t xml:space="preserve"> Vanguard S&amp;P 500 UCITS ETF (der "Fonds") - (USD) Akkumulierend</w:t>
      </w:r>
    </w:p>
    <w:p>
      <w:pPr>
        <w:spacing w:after="0" w:line="54"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IE00BFMXXD54</w:t>
      </w:r>
    </w:p>
    <w:p>
      <w:pPr>
        <w:spacing w:after="0" w:line="46"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Vanguard Group (Ireland) Limited (VGIL)</w:t>
      </w:r>
    </w:p>
    <w:p>
      <w:pPr>
        <w:spacing w:after="0" w:line="54"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Für weitere Informationen rufen Sie uns an unter +44 207 489 4305 - https://global.vanguard.com - Dieses Dokument mit Schlüsselinformationen ist vom 13/03/2023.</w:t>
      </w:r>
    </w:p>
    <w:p>
      <w:pPr>
        <w:spacing w:after="0" w:line="50"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Die Central Bank of Ireland (die "Zentralbank") ist für die Beaufsichtigung der VGIL im Zusammenhang mit diesem Basisinformationsblatt verantwortlich.</w:t>
      </w:r>
    </w:p>
    <w:p>
      <w:pPr>
        <w:spacing w:after="0" w:line="50"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Der Fonds ist in Irland zugelassen und in anderen EWR-Mitgliedstaaten zum Verkauf zugelassen.</w:t>
      </w:r>
    </w:p>
    <w:p>
      <w:pPr>
        <w:spacing w:after="0" w:line="46"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Sie sind im Begriff, einen Fonds zu erwerben, der nicht einfach ist und möglicherweise schwer zu verstehen ist.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-18415</wp:posOffset>
            </wp:positionH>
            <wp:positionV relativeFrom="paragraph">
              <wp:posOffset>4445</wp:posOffset>
            </wp:positionV>
            <wp:extent cx="7094220" cy="444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ectPr>
          <w:pgSz w:w="11900" w:h="16838" w:orient="portrait"/>
          <w:cols w:equalWidth="0" w:num="1">
            <w:col w:w="11103"/>
          </w:cols>
          <w:pgMar w:left="397" w:top="552" w:right="406" w:bottom="1440" w:gutter="0" w:footer="0" w:header="0"/>
        </w:sectPr>
      </w:pPr>
    </w:p>
    <w:p>
      <w:pPr>
        <w:spacing w:after="0" w:line="88"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Was ist dieses Produkt?</w:t>
      </w:r>
    </w:p>
    <w:p>
      <w:pPr>
        <w:spacing w:after="0" w:line="108" w:lineRule="exact"/>
        <w:rPr>
          <w:sz w:val="24"/>
          <w:szCs w:val="24"/>
          <w:color w:val="auto"/>
        </w:rPr>
      </w:pPr>
    </w:p>
    <w:p>
      <w:pPr xmlns:w="http://schemas.openxmlformats.org/wordprocessingml/2006/main">
        <w:jc w:val="both"/>
        <w:ind w:left="3"/>
        <w:spacing w:after="0" w:line="253" w:lineRule="auto"/>
        <w:rPr>
          <w:sz w:val="20"/>
          <w:szCs w:val="20"/>
          <w:color w:val="auto"/>
        </w:rPr>
      </w:pPr>
      <w:r>
        <w:rPr xmlns:w="http://schemas.openxmlformats.org/wordprocessingml/2006/main">
          <w:rFonts w:ascii="Arial" w:cs="Arial" w:eastAsia="Arial" w:hAnsi="Arial"/>
          <w:sz w:val="16"/>
          <w:szCs w:val="16"/>
          <w:b w:val="1"/>
          <w:bCs w:val="1"/>
          <w:color w:val="231F20"/>
        </w:rPr>
        <w:t xml:space="preserve">Art:</w:t>
      </w:r>
      <w:r>
        <w:rPr xmlns:w="http://schemas.openxmlformats.org/wordprocessingml/2006/main">
          <w:rFonts w:ascii="Arial" w:cs="Arial" w:eastAsia="Arial" w:hAnsi="Arial"/>
          <w:sz w:val="16"/>
          <w:szCs w:val="16"/>
          <w:color w:val="231F20"/>
        </w:rPr>
        <w:t xml:space="preserve"> Der Fonds ist ein Teilfonds von Vanguard Funds plc ("VF"), einem von der irischen Zentralbank zugelassenen OGAW.</w:t>
      </w:r>
    </w:p>
    <w:p>
      <w:pPr>
        <w:spacing w:after="0" w:line="6" w:lineRule="exact"/>
        <w:rPr>
          <w:sz w:val="24"/>
          <w:szCs w:val="24"/>
          <w:color w:val="auto"/>
        </w:rPr>
      </w:pPr>
    </w:p>
    <w:p>
      <w:pPr xmlns:w="http://schemas.openxmlformats.org/wordprocessingml/2006/main">
        <w:jc w:val="both"/>
        <w:ind w:left="3"/>
        <w:spacing w:after="0" w:line="227" w:lineRule="auto"/>
        <w:rPr>
          <w:sz w:val="20"/>
          <w:szCs w:val="20"/>
          <w:color w:val="auto"/>
        </w:rPr>
      </w:pPr>
      <w:r>
        <w:rPr xmlns:w="http://schemas.openxmlformats.org/wordprocessingml/2006/main">
          <w:rFonts w:ascii="Arial" w:cs="Arial" w:eastAsia="Arial" w:hAnsi="Arial"/>
          <w:sz w:val="16"/>
          <w:szCs w:val="16"/>
          <w:b w:val="1"/>
          <w:bCs w:val="1"/>
          <w:color w:val="231F20"/>
        </w:rPr>
        <w:t xml:space="preserve">Laufzeit:</w:t>
      </w:r>
      <w:r>
        <w:rPr xmlns:w="http://schemas.openxmlformats.org/wordprocessingml/2006/main">
          <w:rFonts w:ascii="Arial" w:cs="Arial" w:eastAsia="Arial" w:hAnsi="Arial"/>
          <w:sz w:val="16"/>
          <w:szCs w:val="16"/>
          <w:color w:val="231F20"/>
        </w:rPr>
        <w:t xml:space="preserve"> Der Fonds hat kein festes Fälligkeitsdatum, kann jedoch unter bestimmten Umständen, wie im Prospekt des VF (der "Prospekt") beschrieben, beendet werden, auch wenn der Nettoinventarwert des Fonds unter 100 Millionen US-Dollar oder dessen Gegenwert in einer anderen Währung fällt.</w:t>
      </w:r>
    </w:p>
    <w:p>
      <w:pPr>
        <w:spacing w:after="0" w:line="18" w:lineRule="exact"/>
        <w:rPr>
          <w:sz w:val="24"/>
          <w:szCs w:val="24"/>
          <w:color w:val="auto"/>
        </w:rPr>
      </w:pPr>
    </w:p>
    <w:p>
      <w:pPr xmlns:w="http://schemas.openxmlformats.org/wordprocessingml/2006/main">
        <w:jc w:val="both"/>
        <w:ind w:left="3"/>
        <w:spacing w:after="0" w:line="234" w:lineRule="auto"/>
        <w:rPr>
          <w:sz w:val="20"/>
          <w:szCs w:val="20"/>
          <w:color w:val="auto"/>
        </w:rPr>
      </w:pPr>
      <w:r>
        <w:rPr xmlns:w="http://schemas.openxmlformats.org/wordprocessingml/2006/main">
          <w:rFonts w:ascii="Arial" w:cs="Arial" w:eastAsia="Arial" w:hAnsi="Arial"/>
          <w:sz w:val="16"/>
          <w:szCs w:val="16"/>
          <w:b w:val="1"/>
          <w:bCs w:val="1"/>
          <w:color w:val="231F20"/>
        </w:rPr>
        <w:t xml:space="preserve">Ziele:</w:t>
      </w:r>
      <w:r>
        <w:rPr xmlns:w="http://schemas.openxmlformats.org/wordprocessingml/2006/main">
          <w:rFonts w:ascii="Arial" w:cs="Arial" w:eastAsia="Arial" w:hAnsi="Arial"/>
          <w:sz w:val="16"/>
          <w:szCs w:val="16"/>
          <w:color w:val="231F20"/>
        </w:rPr>
        <w:t xml:space="preserve"> Der Fonds verfolgt einen passiven Management- oder Indexierungsansatz durch den physischen Erwerb von Wertpapieren und versucht, die Performance des Standard and Poor's 500 Index (der "Index") zu verfolgen.</w:t>
      </w:r>
    </w:p>
    <w:p>
      <w:pPr>
        <w:spacing w:after="0" w:line="20"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Der Index setzt sich aus großen Unternehmensaktien in den USA zusammen.</w:t>
      </w:r>
    </w:p>
    <w:p>
      <w:pPr>
        <w:spacing w:after="0" w:line="50"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Der Fonds versucht,</w:t>
      </w:r>
    </w:p>
    <w:p>
      <w:pPr>
        <w:spacing w:after="0" w:line="31" w:lineRule="exact"/>
        <w:rPr>
          <w:sz w:val="24"/>
          <w:szCs w:val="24"/>
          <w:color w:val="auto"/>
        </w:rPr>
      </w:pPr>
    </w:p>
    <w:p>
      <w:pPr xmlns:w="http://schemas.openxmlformats.org/wordprocessingml/2006/main">
        <w:jc w:val="both"/>
        <w:ind w:left="3" w:hanging="3"/>
        <w:spacing w:after="0" w:line="222" w:lineRule="auto"/>
        <w:tabs>
          <w:tab w:leader="none" w:pos="243"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Nachverfolgung der Wertentwicklung des Index durch Anlage in alle Einzelwertpapiere des Index im selben Verhältnis wie der Index.</w:t>
      </w:r>
      <w:r>
        <w:rPr xmlns:w="http://schemas.openxmlformats.org/wordprocessingml/2006/main">
          <w:rFonts w:ascii="Arial" w:cs="Arial" w:eastAsia="Arial" w:hAnsi="Arial"/>
          <w:sz w:val="16"/>
          <w:szCs w:val="16"/>
          <w:color w:val="231F20"/>
        </w:rPr>
        <w:t xml:space="preserve"> Wo es nicht möglich ist, eine vollständige Wiederholung vorzunehmen, wird der Fonds ein Stichprobenverfahren anwenden.</w:t>
      </w:r>
    </w:p>
    <w:p>
      <w:pPr>
        <w:spacing w:after="0" w:line="1" w:lineRule="exact"/>
        <w:rPr>
          <w:rFonts w:ascii="Arial" w:cs="Arial" w:eastAsia="Arial" w:hAnsi="Arial"/>
          <w:sz w:val="16"/>
          <w:szCs w:val="16"/>
          <w:color w:val="231F20"/>
        </w:rPr>
      </w:pPr>
    </w:p>
    <w:p>
      <w:pPr xmlns:w="http://schemas.openxmlformats.org/wordprocessingml/2006/main">
        <w:jc w:val="both"/>
        <w:ind w:left="3" w:hanging="3"/>
        <w:spacing w:after="0" w:line="222" w:lineRule="auto"/>
        <w:tabs>
          <w:tab w:leader="none" w:pos="202"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Vollständig investiert bleiben, außer in außergewöhnliche Marktbedingungen, politische oder ähnliche Bedingungen, bei denen der Fonds vorübergehend von dieser Anlagepolitik abweichen kann, um Verluste zu vermeiden.</w:t>
      </w:r>
    </w:p>
    <w:p>
      <w:pPr>
        <w:spacing w:after="0" w:line="21" w:lineRule="exact"/>
        <w:rPr>
          <w:sz w:val="24"/>
          <w:szCs w:val="24"/>
          <w:color w:val="auto"/>
        </w:rPr>
      </w:pPr>
    </w:p>
    <w:p>
      <w:pPr xmlns:w="http://schemas.openxmlformats.org/wordprocessingml/2006/main">
        <w:jc w:val="both"/>
        <w:ind w:left="3"/>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Der Fonds investiert in Wertpapiere, die auf andere Währungen als die Notierungswährung lauten.</w:t>
      </w:r>
      <w:r>
        <w:rPr xmlns:w="http://schemas.openxmlformats.org/wordprocessingml/2006/main">
          <w:rFonts w:ascii="Arial" w:cs="Arial" w:eastAsia="Arial" w:hAnsi="Arial"/>
          <w:sz w:val="16"/>
          <w:szCs w:val="16"/>
          <w:color w:val="231F20"/>
        </w:rPr>
        <w:t xml:space="preserve"> Wechselkursschwankungen können die Rendite von Investitionen beeinflussen.</w:t>
      </w:r>
    </w:p>
    <w:p>
      <w:pPr>
        <w:spacing w:after="0" w:line="20" w:lineRule="exact"/>
        <w:rPr>
          <w:sz w:val="24"/>
          <w:szCs w:val="24"/>
          <w:color w:val="auto"/>
        </w:rPr>
      </w:pPr>
    </w:p>
    <w:p>
      <w:pPr xmlns:w="http://schemas.openxmlformats.org/wordprocessingml/2006/main">
        <w:jc w:val="both"/>
        <w:ind w:left="3"/>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Der Fonds kann Derivate einsetzen, um Risiken oder Kosten zu verringern und/oder zusätzliche Einnahmen oder Wachstum zu generieren.</w:t>
      </w:r>
      <w:r>
        <w:rPr xmlns:w="http://schemas.openxmlformats.org/wordprocessingml/2006/main">
          <w:rFonts w:ascii="Arial" w:cs="Arial" w:eastAsia="Arial" w:hAnsi="Arial"/>
          <w:sz w:val="16"/>
          <w:szCs w:val="16"/>
          <w:color w:val="231F20"/>
        </w:rPr>
        <w:t xml:space="preserve"> Ein Derivat ist ein Finanzkontrakt, dessen Wert auf dem Wert eines finanziellen Vermögenswerts (wie einer Aktie, einer Anleihe oder einer Währung) oder einem Marktindex basiert.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-18415</wp:posOffset>
            </wp:positionH>
            <wp:positionV relativeFrom="paragraph">
              <wp:posOffset>48895</wp:posOffset>
            </wp:positionV>
            <wp:extent cx="7094220" cy="444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56" w:lineRule="exact"/>
        <w:rPr>
          <w:sz w:val="24"/>
          <w:szCs w:val="24"/>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Aktien des Fonds können täglich (außer an bestimmten Bank-/Feiertagen und vorbehaltlich bestimmter in Anlage 1 des Prospekts genannter Einschränkungen) durch schriftliche Antragstellung gekauft, verkauft oder getauscht werden.</w:t>
      </w:r>
    </w:p>
    <w:p>
      <w:pPr>
        <w:spacing w:after="0" w:line="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0</w:t>
      </w:r>
    </w:p>
    <w:p>
      <w:pPr>
        <w:spacing w:after="0" w:line="27" w:lineRule="exact"/>
        <w:rPr>
          <w:sz w:val="24"/>
          <w:szCs w:val="24"/>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VF ist ein Dachfonds mit getrennter Haftung zwischen Teilfonds.</w:t>
      </w:r>
      <w:r>
        <w:rPr xmlns:w="http://schemas.openxmlformats.org/wordprocessingml/2006/main">
          <w:rFonts w:ascii="Arial" w:cs="Arial" w:eastAsia="Arial" w:hAnsi="Arial"/>
          <w:sz w:val="16"/>
          <w:szCs w:val="16"/>
          <w:color w:val="231F20"/>
        </w:rPr>
        <w:t xml:space="preserve"> Dies bedeutet, dass die Bestände des Fonds nach irischem Recht getrennt von den Beständen anderer Unterfonds von VF gehalten werden und Ihre Investition in den Fonds durch Ansprüche gegen andere Unterfonds von VF nicht beeinträchtigt wird.</w:t>
      </w:r>
    </w:p>
    <w:p>
      <w:pPr>
        <w:spacing w:after="0" w:line="17" w:lineRule="exact"/>
        <w:rPr>
          <w:sz w:val="24"/>
          <w:szCs w:val="24"/>
          <w:color w:val="auto"/>
        </w:rPr>
      </w:pPr>
    </w:p>
    <w:p>
      <w:pPr xmlns:w="http://schemas.openxmlformats.org/wordprocessingml/2006/main">
        <w:jc w:val="both"/>
        <w:spacing w:after="0" w:line="234" w:lineRule="auto"/>
        <w:rPr>
          <w:sz w:val="20"/>
          <w:szCs w:val="20"/>
          <w:color w:val="auto"/>
        </w:rPr>
      </w:pPr>
      <w:r>
        <w:rPr xmlns:w="http://schemas.openxmlformats.org/wordprocessingml/2006/main">
          <w:rFonts w:ascii="Arial" w:cs="Arial" w:eastAsia="Arial" w:hAnsi="Arial"/>
          <w:sz w:val="16"/>
          <w:szCs w:val="16"/>
          <w:b w:val="1"/>
          <w:bCs w:val="1"/>
          <w:color w:val="231F20"/>
        </w:rPr>
        <w:t xml:space="preserve">Gezielter Kleinanleger:</w:t>
      </w:r>
      <w:r>
        <w:rPr xmlns:w="http://schemas.openxmlformats.org/wordprocessingml/2006/main">
          <w:rFonts w:ascii="Arial" w:cs="Arial" w:eastAsia="Arial" w:hAnsi="Arial"/>
          <w:sz w:val="16"/>
          <w:szCs w:val="16"/>
          <w:color w:val="231F20"/>
        </w:rPr>
        <w:t xml:space="preserve"> Der Fonds steht einem breiten Spektrum von Anlegern zur Verfügung, die Zugang zu einem Portfolio wünschen, das gemäß einem bestimmten Anlageziel und einer bestimmten Anlagepolitik verwaltet wird.</w:t>
      </w:r>
    </w:p>
    <w:p>
      <w:pPr>
        <w:spacing w:after="0" w:line="93" w:lineRule="exact"/>
        <w:rPr>
          <w:sz w:val="24"/>
          <w:szCs w:val="24"/>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Verwahrer des VF ist die Brown Brothers Harriman Trustee Services (Ireland) Limited.</w:t>
      </w:r>
    </w:p>
    <w:p>
      <w:pPr>
        <w:spacing w:after="0" w:line="14" w:lineRule="exact"/>
        <w:rPr>
          <w:sz w:val="24"/>
          <w:szCs w:val="24"/>
          <w:color w:val="auto"/>
        </w:rPr>
      </w:pPr>
    </w:p>
    <w:p>
      <w:pPr xmlns:w="http://schemas.openxmlformats.org/wordprocessingml/2006/main">
        <w:jc w:val="both"/>
        <w:spacing w:after="0" w:line="216" w:lineRule="auto"/>
        <w:rPr>
          <w:rFonts w:ascii="Arial" w:cs="Arial" w:eastAsia="Arial" w:hAnsi="Arial"/>
          <w:sz w:val="16"/>
          <w:szCs w:val="16"/>
          <w:color w:val="0000FF"/>
        </w:rPr>
      </w:pPr>
      <w:r>
        <w:rPr xmlns:w="http://schemas.openxmlformats.org/wordprocessingml/2006/main">
          <w:rFonts w:ascii="Arial" w:cs="Arial" w:eastAsia="Arial" w:hAnsi="Arial"/>
          <w:sz w:val="16"/>
          <w:szCs w:val="16"/>
          <w:color w:val="231F20"/>
        </w:rPr>
        <w:t xml:space="preserve">Kopien des Prospekts und des aktuellen Jahres- und Halbjahresberichts sowie der Abschlüsse von Vanguard Funds plc ("VF") sowie die neuesten veröffentlichten Kurse der Aktien und andere praktische Informationen sind bei VF c/o Brown Brothers Harriman Fund Administration Services (Ireland) Limited, 30 </w:t>
      </w:r>
      <w:hyperlink r:id="rId16">
        <w:r>
          <w:rPr xmlns:w="http://schemas.openxmlformats.org/wordprocessingml/2006/main">
            <w:rFonts w:ascii="Arial" w:cs="Arial" w:eastAsia="Arial" w:hAnsi="Arial"/>
            <w:sz w:val="16"/>
            <w:szCs w:val="16"/>
            <w:color w:val="231F20"/>
          </w:rPr>
          <w:t xml:space="preserve">Herbert Street, Dublin 2, D02 W329, Irland oder auf unserer Website unter</w:t>
        </w:r>
      </w:hyperlink>
      <w:hyperlink r:id="rId16">
        <w:r>
          <w:rPr xmlns:w="http://schemas.openxmlformats.org/wordprocessingml/2006/main">
            <w:rFonts w:ascii="Arial" w:cs="Arial" w:eastAsia="Arial" w:hAnsi="Arial"/>
            <w:sz w:val="16"/>
            <w:szCs w:val="16"/>
            <w:color w:val="0000FF"/>
          </w:rPr>
          <w:t xml:space="preserve"> https:// </w:t>
        </w:r>
      </w:hyperlink>
      <w:hyperlink r:id="rId16">
        <w:r>
          <w:rPr xmlns:w="http://schemas.openxmlformats.org/wordprocessingml/2006/main">
            <w:rFonts w:ascii="Arial" w:cs="Arial" w:eastAsia="Arial" w:hAnsi="Arial"/>
            <w:sz w:val="16"/>
            <w:szCs w:val="16"/>
            <w:color w:val="0000FF"/>
          </w:rPr>
          <w:t xml:space="preserve">global.vanguard.com erhältlich</w:t>
        </w:r>
      </w:hyperlink>
      <w:hyperlink r:id="rId16">
        <w:r>
          <w:rPr xmlns:w="http://schemas.openxmlformats.org/wordprocessingml/2006/main">
            <w:rFonts w:ascii="Arial" w:cs="Arial" w:eastAsia="Arial" w:hAnsi="Arial"/>
            <w:sz w:val="16"/>
            <w:szCs w:val="16"/>
            <w:color w:val="231F20"/>
          </w:rPr>
          <w:t xml:space="preserve">.</w:t>
        </w:r>
      </w:hyperlink>
      <w:hyperlink r:id="rId16">
        <w:r>
          <w:rPr xmlns:w="http://schemas.openxmlformats.org/wordprocessingml/2006/main">
            <w:rFonts w:ascii="Arial" w:cs="Arial" w:eastAsia="Arial" w:hAnsi="Arial"/>
            <w:sz w:val="16"/>
            <w:szCs w:val="16"/>
            <w:color w:val="231F20"/>
          </w:rPr>
          <w:t xml:space="preserve"> Informationen über die Offenlegungspolitik des Fonds </w:t>
        </w:r>
      </w:hyperlink>
      <w:hyperlink r:id="rId17">
        <w:r>
          <w:rPr xmlns:w="http://schemas.openxmlformats.org/wordprocessingml/2006/main">
            <w:rFonts w:ascii="Arial" w:cs="Arial" w:eastAsia="Arial" w:hAnsi="Arial"/>
            <w:sz w:val="16"/>
            <w:szCs w:val="16"/>
            <w:color w:val="231F20"/>
          </w:rPr>
          <w:t xml:space="preserve">und die Veröffentlichung des iNAV können unter https://global.vanguard.com/ </w:t>
        </w:r>
      </w:hyperlink>
      <w:hyperlink r:id="rId17">
        <w:r>
          <w:rPr xmlns:w="http://schemas.openxmlformats.org/wordprocessingml/2006/main">
            <w:rFonts w:ascii="Arial" w:cs="Arial" w:eastAsia="Arial" w:hAnsi="Arial"/>
            <w:sz w:val="16"/>
            <w:szCs w:val="16"/>
            <w:color w:val="0000FF"/>
          </w:rPr>
          <w:t xml:space="preserve">Portal/Site/Portal/OGAW-Documentation</w:t>
        </w:r>
      </w:hyperlink>
      <w:hyperlink r:id="rId17">
        <w:r>
          <w:rPr xmlns:w="http://schemas.openxmlformats.org/wordprocessingml/2006/main">
            <w:rFonts w:ascii="Arial" w:cs="Arial" w:eastAsia="Arial" w:hAnsi="Arial"/>
            <w:sz w:val="16"/>
            <w:szCs w:val="16"/>
            <w:color w:val="231F20"/>
          </w:rPr>
          <w:t xml:space="preserve"> abgerufen werden</w:t>
        </w:r>
      </w:hyperlink>
      <w:hyperlink r:id="rId17">
        <w:r>
          <w:rPr xmlns:w="http://schemas.openxmlformats.org/wordprocessingml/2006/main">
            <w:rFonts w:ascii="Arial" w:cs="Arial" w:eastAsia="Arial" w:hAnsi="Arial"/>
            <w:sz w:val="16"/>
            <w:szCs w:val="16"/>
            <w:color w:val="231F20"/>
          </w:rPr>
          <w:t xml:space="preserve">.</w:t>
        </w:r>
      </w:hyperlink>
      <w:hyperlink r:id="rId17">
        <w:r>
          <w:rPr xmlns:w="http://schemas.openxmlformats.org/wordprocessingml/2006/main">
            <w:rFonts w:ascii="Arial" w:cs="Arial" w:eastAsia="Arial" w:hAnsi="Arial"/>
            <w:sz w:val="16"/>
            <w:szCs w:val="16"/>
            <w:color w:val="231F20"/>
          </w:rPr>
          <w:t xml:space="preserve"> Die Dokumente sind in </w:t>
        </w:r>
      </w:hyperlink>
      <w:r>
        <w:rPr xmlns:w="http://schemas.openxmlformats.org/wordprocessingml/2006/main">
          <w:rFonts w:ascii="Arial" w:cs="Arial" w:eastAsia="Arial" w:hAnsi="Arial"/>
          <w:sz w:val="16"/>
          <w:szCs w:val="16"/>
          <w:color w:val="231F20"/>
        </w:rPr>
        <w:t xml:space="preserve">englischer Sprache</w:t>
      </w:r>
      <w:hyperlink r:id="rId17">
        <w:r>
          <w:rPr xmlns:w="http://schemas.openxmlformats.org/wordprocessingml/2006/main">
            <w:rFonts w:ascii="Arial" w:cs="Arial" w:eastAsia="Arial" w:hAnsi="Arial"/>
            <w:sz w:val="16"/>
            <w:szCs w:val="16"/>
            <w:color w:val="231F20"/>
          </w:rPr>
          <w:t xml:space="preserve"> verfügbar</w:t>
        </w:r>
      </w:hyperlink>
      <w:r>
        <w:rPr xmlns:w="http://schemas.openxmlformats.org/wordprocessingml/2006/main">
          <w:rFonts w:ascii="Arial" w:cs="Arial" w:eastAsia="Arial" w:hAnsi="Arial"/>
          <w:sz w:val="16"/>
          <w:szCs w:val="16"/>
          <w:color w:val="231F20"/>
        </w:rPr>
        <w:t xml:space="preserve"> und kostenlos.</w:t>
      </w:r>
    </w:p>
    <w:p>
      <w:pPr>
        <w:spacing w:after="0" w:line="425" w:lineRule="exact"/>
        <w:rPr>
          <w:rFonts w:ascii="Arial" w:cs="Arial" w:eastAsia="Arial" w:hAnsi="Arial"/>
          <w:sz w:val="16"/>
          <w:szCs w:val="16"/>
          <w:color w:val="0000FF"/>
        </w:rPr>
      </w:pPr>
    </w:p>
    <w:p>
      <w:pPr>
        <w:sectPr>
          <w:pgSz w:w="11900" w:h="16838" w:orient="portrait"/>
          <w:cols w:equalWidth="0" w:num="2">
            <w:col w:w="5423" w:space="260"/>
            <w:col w:w="5420"/>
          </w:cols>
          <w:pgMar w:left="397" w:top="552" w:right="406" w:bottom="1440" w:gutter="0" w:footer="0" w:header="0"/>
          <w:type w:val="continuous"/>
        </w:sect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Was sind die Risiken und was könnte ich dafür bekommen?</w:t>
      </w:r>
    </w:p>
    <w:p>
      <w:pPr>
        <w:spacing w:after="0" w:line="118" w:lineRule="exact"/>
        <w:rPr>
          <w:rFonts w:ascii="Arial" w:cs="Arial" w:eastAsia="Arial" w:hAnsi="Arial"/>
          <w:sz w:val="16"/>
          <w:szCs w:val="16"/>
          <w:color w:val="0000FF"/>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Risikoindikator</w:t>
      </w:r>
    </w:p>
    <w:p>
      <w:pPr>
        <w:spacing w:after="0" w:line="20" w:lineRule="exact"/>
        <w:rPr>
          <w:rFonts w:ascii="Arial" w:cs="Arial" w:eastAsia="Arial" w:hAnsi="Arial"/>
          <w:sz w:val="16"/>
          <w:szCs w:val="16"/>
          <w:color w:val="0000FF"/>
        </w:rPr>
      </w:pPr>
      <w:r>
        <w:rPr>
          <w:rFonts w:ascii="Arial" w:cs="Arial" w:eastAsia="Arial" w:hAnsi="Arial"/>
          <w:sz w:val="16"/>
          <w:szCs w:val="16"/>
          <w:color w:val="0000FF"/>
        </w:rPr>
        <w:drawing>
          <wp:anchor simplePos="0" relativeHeight="251657728" behindDoc="1" locked="0" layoutInCell="0" allowOverlap="1">
            <wp:simplePos x="0" y="0"/>
            <wp:positionH relativeFrom="column">
              <wp:posOffset>17145</wp:posOffset>
            </wp:positionH>
            <wp:positionV relativeFrom="paragraph">
              <wp:posOffset>161290</wp:posOffset>
            </wp:positionV>
            <wp:extent cx="3407410" cy="3949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extLst>
                    </a:blip>
                    <a:srcRect/>
                    <a:stretch>
                      <a:fillRect/>
                    </a:stretch>
                  </pic:blipFill>
                  <pic:spPr bwMode="auto">
                    <a:xfrm>
                      <a:off x="0" y="0"/>
                      <a:ext cx="3407410" cy="394970"/>
                    </a:xfrm>
                    <a:prstGeom prst="rect">
                      <a:avLst/>
                    </a:prstGeom>
                    <a:noFill/>
                  </pic:spPr>
                </pic:pic>
              </a:graphicData>
            </a:graphic>
          </wp:anchor>
        </w:drawing>
      </w:r>
    </w:p>
    <w:p>
      <w:pPr>
        <w:spacing w:after="0" w:line="379" w:lineRule="exact"/>
        <w:rPr>
          <w:rFonts w:ascii="Arial" w:cs="Arial" w:eastAsia="Arial" w:hAnsi="Arial"/>
          <w:sz w:val="16"/>
          <w:szCs w:val="16"/>
          <w:color w:val="0000FF"/>
        </w:rPr>
      </w:pPr>
    </w:p>
    <w:tbl>
      <w:tblPr>
        <w:tblLayout w:type="fixed"/>
        <w:tblInd w:w="63" w:type="dxa"/>
        <w:tblCellMar>
          <w:top w:w="0" w:type="dxa"/>
          <w:left w:w="0" w:type="dxa"/>
          <w:bottom w:w="0" w:type="dxa"/>
          <w:right w:w="0" w:type="dxa"/>
        </w:tblCellMar>
      </w:tblPr>
      <w:tr>
        <w:trPr>
          <w:trHeight w:val="325"/>
        </w:trPr>
        <w:tc>
          <w:tcPr>
            <w:tcW w:w="880" w:type="dxa"/>
            <w:vAlign w:val="bottom"/>
            <w:gridSpan w:val="2"/>
          </w:tcPr>
          <w:p>
            <w:pPr xmlns:w="http://schemas.openxmlformats.org/wordprocessingml/2006/main">
              <w:jc w:val="right"/>
              <w:ind w:right="440"/>
              <w:spacing w:after="0"/>
              <w:rPr>
                <w:sz w:val="20"/>
                <w:szCs w:val="20"/>
                <w:color w:val="auto"/>
              </w:rPr>
            </w:pPr>
            <w:r>
              <w:rPr xmlns:w="http://schemas.openxmlformats.org/wordprocessingml/2006/main">
                <w:rFonts w:ascii="Arial" w:cs="Arial" w:eastAsia="Arial" w:hAnsi="Arial"/>
                <w:sz w:val="24"/>
                <w:szCs w:val="24"/>
                <w:color w:val="auto"/>
              </w:rPr>
              <w:t xml:space="preserve">1</w:t>
            </w:r>
          </w:p>
        </w:tc>
        <w:tc>
          <w:tcPr>
            <w:tcW w:w="640" w:type="dxa"/>
            <w:vAlign w:val="bottom"/>
          </w:tcPr>
          <w:p>
            <w:pPr xmlns:w="http://schemas.openxmlformats.org/wordprocessingml/2006/main">
              <w:jc w:val="right"/>
              <w:ind w:right="200"/>
              <w:spacing w:after="0"/>
              <w:rPr>
                <w:sz w:val="20"/>
                <w:szCs w:val="20"/>
                <w:color w:val="auto"/>
              </w:rPr>
            </w:pPr>
            <w:r>
              <w:rPr xmlns:w="http://schemas.openxmlformats.org/wordprocessingml/2006/main">
                <w:rFonts w:ascii="Arial" w:cs="Arial" w:eastAsia="Arial" w:hAnsi="Arial"/>
                <w:sz w:val="24"/>
                <w:szCs w:val="24"/>
                <w:color w:val="auto"/>
              </w:rPr>
              <w:t xml:space="preserve">2</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color w:val="auto"/>
              </w:rPr>
              <w:t xml:space="preserve">3</w:t>
            </w:r>
          </w:p>
        </w:tc>
        <w:tc>
          <w:tcPr>
            <w:tcW w:w="76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color w:val="auto"/>
              </w:rPr>
              <w:t xml:space="preserve">4</w:t>
            </w:r>
          </w:p>
        </w:tc>
        <w:tc>
          <w:tcPr>
            <w:tcW w:w="760" w:type="dxa"/>
            <w:vAlign w:val="bottom"/>
          </w:tcPr>
          <w:p>
            <w:pPr xmlns:w="http://schemas.openxmlformats.org/wordprocessingml/2006/main">
              <w:jc w:val="right"/>
              <w:ind w:right="200"/>
              <w:spacing w:after="0"/>
              <w:rPr>
                <w:sz w:val="20"/>
                <w:szCs w:val="20"/>
                <w:color w:val="auto"/>
              </w:rPr>
            </w:pPr>
            <w:r>
              <w:rPr xmlns:w="http://schemas.openxmlformats.org/wordprocessingml/2006/main">
                <w:rFonts w:ascii="Arial" w:cs="Arial" w:eastAsia="Arial" w:hAnsi="Arial"/>
                <w:sz w:val="24"/>
                <w:szCs w:val="24"/>
                <w:color w:val="FFFFFF"/>
              </w:rPr>
              <w:t xml:space="preserve">5</w:t>
            </w:r>
          </w:p>
        </w:tc>
        <w:tc>
          <w:tcPr>
            <w:tcW w:w="620" w:type="dxa"/>
            <w:vAlign w:val="bottom"/>
          </w:tcPr>
          <w:p>
            <w:pPr xmlns:w="http://schemas.openxmlformats.org/wordprocessingml/2006/main">
              <w:jc w:val="right"/>
              <w:ind w:right="60"/>
              <w:spacing w:after="0"/>
              <w:rPr>
                <w:sz w:val="20"/>
                <w:szCs w:val="20"/>
                <w:color w:val="auto"/>
              </w:rPr>
            </w:pPr>
            <w:r>
              <w:rPr xmlns:w="http://schemas.openxmlformats.org/wordprocessingml/2006/main">
                <w:rFonts w:ascii="Arial" w:cs="Arial" w:eastAsia="Arial" w:hAnsi="Arial"/>
                <w:sz w:val="24"/>
                <w:szCs w:val="24"/>
                <w:color w:val="auto"/>
              </w:rPr>
              <w:t xml:space="preserve">6</w:t>
            </w:r>
          </w:p>
        </w:tc>
        <w:tc>
          <w:tcPr>
            <w:tcW w:w="86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color w:val="auto"/>
              </w:rPr>
              <w:t xml:space="preserve">7</w:t>
            </w:r>
          </w:p>
        </w:tc>
        <w:tc>
          <w:tcPr>
            <w:tcW w:w="60" w:type="dxa"/>
            <w:vAlign w:val="bottom"/>
          </w:tcPr>
          <w:p>
            <w:pPr>
              <w:spacing w:after="0"/>
              <w:rPr>
                <w:sz w:val="24"/>
                <w:szCs w:val="24"/>
                <w:color w:val="auto"/>
              </w:rPr>
            </w:pPr>
          </w:p>
        </w:tc>
      </w:tr>
      <w:tr>
        <w:trPr>
          <w:trHeight w:val="396"/>
        </w:trPr>
        <w:tc>
          <w:tcPr>
            <w:tcW w:w="40" w:type="dxa"/>
            <w:vAlign w:val="bottom"/>
          </w:tcPr>
          <w:p>
            <w:pPr>
              <w:spacing w:after="0"/>
              <w:rPr>
                <w:sz w:val="24"/>
                <w:szCs w:val="24"/>
                <w:color w:val="auto"/>
              </w:rPr>
            </w:pPr>
          </w:p>
        </w:tc>
        <w:tc>
          <w:tcPr>
            <w:tcW w:w="84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740" w:type="dxa"/>
            <w:vAlign w:val="bottom"/>
            <w:tcBorders>
              <w:bottom w:val="single" w:sz="8" w:color="auto"/>
            </w:tcBorders>
          </w:tcPr>
          <w:p>
            <w:pPr>
              <w:spacing w:after="0"/>
              <w:rPr>
                <w:sz w:val="24"/>
                <w:szCs w:val="24"/>
                <w:color w:val="auto"/>
              </w:rPr>
            </w:pPr>
          </w:p>
        </w:tc>
        <w:tc>
          <w:tcPr>
            <w:tcW w:w="760" w:type="dxa"/>
            <w:vAlign w:val="bottom"/>
            <w:tcBorders>
              <w:bottom w:val="single" w:sz="8" w:color="auto"/>
            </w:tcBorders>
          </w:tcPr>
          <w:p>
            <w:pPr>
              <w:spacing w:after="0"/>
              <w:rPr>
                <w:sz w:val="24"/>
                <w:szCs w:val="24"/>
                <w:color w:val="auto"/>
              </w:rPr>
            </w:pPr>
          </w:p>
        </w:tc>
        <w:tc>
          <w:tcPr>
            <w:tcW w:w="760" w:type="dxa"/>
            <w:vAlign w:val="bottom"/>
            <w:tcBorders>
              <w:bottom w:val="single" w:sz="8" w:color="auto"/>
            </w:tcBorders>
          </w:tcPr>
          <w:p>
            <w:pPr>
              <w:spacing w:after="0"/>
              <w:rPr>
                <w:sz w:val="24"/>
                <w:szCs w:val="24"/>
                <w:color w:val="auto"/>
              </w:rPr>
            </w:pPr>
          </w:p>
        </w:tc>
        <w:tc>
          <w:tcPr>
            <w:tcW w:w="620" w:type="dxa"/>
            <w:vAlign w:val="bottom"/>
            <w:tcBorders>
              <w:bottom w:val="single" w:sz="8" w:color="auto"/>
            </w:tcBorders>
          </w:tcPr>
          <w:p>
            <w:pPr>
              <w:spacing w:after="0"/>
              <w:rPr>
                <w:sz w:val="24"/>
                <w:szCs w:val="24"/>
                <w:color w:val="auto"/>
              </w:rPr>
            </w:pPr>
          </w:p>
        </w:tc>
        <w:tc>
          <w:tcPr>
            <w:tcW w:w="860" w:type="dxa"/>
            <w:vAlign w:val="bottom"/>
            <w:tcBorders>
              <w:bottom w:val="single" w:sz="8" w:color="auto"/>
            </w:tcBorders>
          </w:tcPr>
          <w:p>
            <w:pPr>
              <w:spacing w:after="0"/>
              <w:rPr>
                <w:sz w:val="24"/>
                <w:szCs w:val="24"/>
                <w:color w:val="auto"/>
              </w:rPr>
            </w:pPr>
          </w:p>
        </w:tc>
        <w:tc>
          <w:tcPr>
            <w:tcW w:w="60" w:type="dxa"/>
            <w:vAlign w:val="bottom"/>
          </w:tcPr>
          <w:p>
            <w:pPr>
              <w:spacing w:after="0"/>
              <w:rPr>
                <w:sz w:val="24"/>
                <w:szCs w:val="24"/>
                <w:color w:val="auto"/>
              </w:rPr>
            </w:pPr>
          </w:p>
        </w:tc>
      </w:tr>
      <w:tr>
        <w:trPr>
          <w:trHeight w:val="283"/>
        </w:trPr>
        <w:tc>
          <w:tcPr>
            <w:tcW w:w="880" w:type="dxa"/>
            <w:vAlign w:val="bottom"/>
            <w:gridSpan w:val="2"/>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14"/>
                <w:szCs w:val="14"/>
                <w:b w:val="1"/>
                <w:bCs w:val="1"/>
                <w:color w:val="231F20"/>
                <w:w w:val="97"/>
              </w:rPr>
              <w:t xml:space="preserve">Geringeres Risiko</w:t>
            </w:r>
          </w:p>
        </w:tc>
        <w:tc>
          <w:tcPr>
            <w:tcW w:w="6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900" w:type="dxa"/>
            <w:vAlign w:val="bottom"/>
            <w:gridSpan w:val="2"/>
          </w:tcPr>
          <w:p>
            <w:pPr xmlns:w="http://schemas.openxmlformats.org/wordprocessingml/2006/main">
              <w:jc w:val="center"/>
              <w:ind w:left="65"/>
              <w:spacing w:after="0"/>
              <w:rPr>
                <w:sz w:val="20"/>
                <w:szCs w:val="20"/>
                <w:color w:val="auto"/>
              </w:rPr>
            </w:pPr>
            <w:r>
              <w:rPr xmlns:w="http://schemas.openxmlformats.org/wordprocessingml/2006/main">
                <w:rFonts w:ascii="Arial" w:cs="Arial" w:eastAsia="Arial" w:hAnsi="Arial"/>
                <w:sz w:val="14"/>
                <w:szCs w:val="14"/>
                <w:b w:val="1"/>
                <w:bCs w:val="1"/>
                <w:color w:val="231F20"/>
              </w:rPr>
              <w:t xml:space="preserve">Höheres Risiko</w:t>
            </w:r>
          </w:p>
        </w:tc>
      </w:tr>
    </w:tbl>
    <w:p>
      <w:pPr>
        <w:spacing w:after="0" w:line="20" w:lineRule="exact"/>
        <w:rPr>
          <w:rFonts w:ascii="Arial" w:cs="Arial" w:eastAsia="Arial" w:hAnsi="Arial"/>
          <w:sz w:val="16"/>
          <w:szCs w:val="16"/>
          <w:color w:val="0000FF"/>
        </w:rPr>
      </w:pPr>
      <w:r>
        <w:rPr>
          <w:rFonts w:ascii="Arial" w:cs="Arial" w:eastAsia="Arial" w:hAnsi="Arial"/>
          <w:sz w:val="16"/>
          <w:szCs w:val="16"/>
          <w:color w:val="0000FF"/>
        </w:rPr>
        <w:drawing>
          <wp:anchor simplePos="0" relativeHeight="251657728" behindDoc="1" locked="0" layoutInCell="0" allowOverlap="1">
            <wp:simplePos x="0" y="0"/>
            <wp:positionH relativeFrom="column">
              <wp:posOffset>36830</wp:posOffset>
            </wp:positionH>
            <wp:positionV relativeFrom="paragraph">
              <wp:posOffset>-241300</wp:posOffset>
            </wp:positionV>
            <wp:extent cx="79375" cy="1098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extLst>
                    </a:blip>
                    <a:srcRect/>
                    <a:stretch>
                      <a:fillRect/>
                    </a:stretch>
                  </pic:blipFill>
                  <pic:spPr bwMode="auto">
                    <a:xfrm>
                      <a:off x="0" y="0"/>
                      <a:ext cx="79375" cy="109855"/>
                    </a:xfrm>
                    <a:prstGeom prst="rect">
                      <a:avLst/>
                    </a:prstGeom>
                    <a:noFill/>
                  </pic:spPr>
                </pic:pic>
              </a:graphicData>
            </a:graphic>
          </wp:anchor>
        </w:drawing>
        <w:drawing>
          <wp:anchor simplePos="0" relativeHeight="251657728" behindDoc="1" locked="0" layoutInCell="0" allowOverlap="1">
            <wp:simplePos x="0" y="0"/>
            <wp:positionH relativeFrom="column">
              <wp:posOffset>3319780</wp:posOffset>
            </wp:positionH>
            <wp:positionV relativeFrom="paragraph">
              <wp:posOffset>-241300</wp:posOffset>
            </wp:positionV>
            <wp:extent cx="79375" cy="1098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extLst>
                    </a:blip>
                    <a:srcRect/>
                    <a:stretch>
                      <a:fillRect/>
                    </a:stretch>
                  </pic:blipFill>
                  <pic:spPr bwMode="auto">
                    <a:xfrm>
                      <a:off x="0" y="0"/>
                      <a:ext cx="79375" cy="109855"/>
                    </a:xfrm>
                    <a:prstGeom prst="rect">
                      <a:avLst/>
                    </a:prstGeom>
                    <a:noFill/>
                  </pic:spPr>
                </pic:pic>
              </a:graphicData>
            </a:graphic>
          </wp:anchor>
        </w:drawing>
        <w:drawing>
          <wp:anchor simplePos="0" relativeHeight="251657728" behindDoc="1" locked="0" layoutInCell="0" allowOverlap="1">
            <wp:simplePos x="0" y="0"/>
            <wp:positionH relativeFrom="column">
              <wp:posOffset>-71120</wp:posOffset>
            </wp:positionH>
            <wp:positionV relativeFrom="paragraph">
              <wp:posOffset>69850</wp:posOffset>
            </wp:positionV>
            <wp:extent cx="617855" cy="5029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extLst>
                    </a:blip>
                    <a:srcRect/>
                    <a:stretch>
                      <a:fillRect/>
                    </a:stretch>
                  </pic:blipFill>
                  <pic:spPr bwMode="auto">
                    <a:xfrm>
                      <a:off x="0" y="0"/>
                      <a:ext cx="617855" cy="502920"/>
                    </a:xfrm>
                    <a:prstGeom prst="rect">
                      <a:avLst/>
                    </a:prstGeom>
                    <a:noFill/>
                  </pic:spPr>
                </pic:pic>
              </a:graphicData>
            </a:graphic>
          </wp:anchor>
        </w:drawing>
      </w:r>
    </w:p>
    <w:p>
      <w:pPr>
        <w:spacing w:after="0" w:line="176" w:lineRule="exact"/>
        <w:rPr>
          <w:rFonts w:ascii="Arial" w:cs="Arial" w:eastAsia="Arial" w:hAnsi="Arial"/>
          <w:sz w:val="16"/>
          <w:szCs w:val="16"/>
          <w:color w:val="0000FF"/>
        </w:rPr>
      </w:pPr>
    </w:p>
    <w:p>
      <w:pPr xmlns:w="http://schemas.openxmlformats.org/wordprocessingml/2006/main">
        <w:jc w:val="both"/>
        <w:ind w:left="823" w:right="140"/>
        <w:spacing w:after="0" w:line="260" w:lineRule="auto"/>
        <w:rPr>
          <w:sz w:val="20"/>
          <w:szCs w:val="20"/>
          <w:color w:val="auto"/>
        </w:rPr>
      </w:pPr>
      <w:r>
        <w:rPr xmlns:w="http://schemas.openxmlformats.org/wordprocessingml/2006/main">
          <w:rFonts w:ascii="Arial" w:cs="Arial" w:eastAsia="Arial" w:hAnsi="Arial"/>
          <w:sz w:val="18"/>
          <w:szCs w:val="18"/>
          <w:color w:val="231F20"/>
        </w:rPr>
        <w:t xml:space="preserve">Der Risikoindikator geht davon aus, dass Sie den Fonds für 5 Jahre behalten.</w:t>
      </w:r>
      <w:r>
        <w:rPr xmlns:w="http://schemas.openxmlformats.org/wordprocessingml/2006/main">
          <w:rFonts w:ascii="Arial" w:cs="Arial" w:eastAsia="Arial" w:hAnsi="Arial"/>
          <w:sz w:val="18"/>
          <w:szCs w:val="18"/>
          <w:color w:val="231F20"/>
        </w:rPr>
        <w:t xml:space="preserve"> Das tatsächliche Risiko kann erheblich variieren, wenn Sie in einem frühen Stadium einlösen und weniger zurückerhalten.</w:t>
      </w:r>
    </w:p>
    <w:p>
      <w:pPr>
        <w:spacing w:after="0" w:line="289" w:lineRule="exact"/>
        <w:rPr>
          <w:rFonts w:ascii="Arial" w:cs="Arial" w:eastAsia="Arial" w:hAnsi="Arial"/>
          <w:sz w:val="16"/>
          <w:szCs w:val="16"/>
          <w:color w:val="0000FF"/>
        </w:rPr>
      </w:pPr>
    </w:p>
    <w:p>
      <w:pPr xmlns:w="http://schemas.openxmlformats.org/wordprocessingml/2006/main">
        <w:jc w:val="both"/>
        <w:ind w:left="3"/>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Es kann sein, dass Sie nicht früh genug einlösen können.</w:t>
      </w:r>
      <w:r>
        <w:rPr xmlns:w="http://schemas.openxmlformats.org/wordprocessingml/2006/main">
          <w:rFonts w:ascii="Arial" w:cs="Arial" w:eastAsia="Arial" w:hAnsi="Arial"/>
          <w:sz w:val="16"/>
          <w:szCs w:val="16"/>
          <w:color w:val="231F20"/>
        </w:rPr>
        <w:t xml:space="preserve"> Es kann vorkommen, dass Sie erhebliche Extrakosten zahlen müssen, um frühzeitig einzahlen zu können.</w:t>
      </w:r>
      <w:r>
        <w:rPr xmlns:w="http://schemas.openxmlformats.org/wordprocessingml/2006/main">
          <w:rFonts w:ascii="Arial" w:cs="Arial" w:eastAsia="Arial" w:hAnsi="Arial"/>
          <w:sz w:val="16"/>
          <w:szCs w:val="16"/>
          <w:color w:val="231F20"/>
        </w:rPr>
        <w:t xml:space="preserve"> Möglicherweise können Sie Ihre Fondsanteile nicht einfach verkaufen, oder Sie müssen zu einem Preis verkaufen, der sich erheblich darauf auswirkt, wie viel Sie zurückbekommen.</w:t>
      </w:r>
    </w:p>
    <w:p>
      <w:pPr>
        <w:spacing w:after="0" w:line="21" w:lineRule="exact"/>
        <w:rPr>
          <w:rFonts w:ascii="Arial" w:cs="Arial" w:eastAsia="Arial" w:hAnsi="Arial"/>
          <w:sz w:val="16"/>
          <w:szCs w:val="16"/>
          <w:color w:val="0000FF"/>
        </w:rPr>
      </w:pPr>
    </w:p>
    <w:p>
      <w:pPr xmlns:w="http://schemas.openxmlformats.org/wordprocessingml/2006/main">
        <w:jc w:val="both"/>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Der zusammenfassende Risikoindikator ist ein Leitfaden für die Höhe des Risikos dieses Fonds im Vergleich zu anderen Fonds.</w:t>
      </w:r>
      <w:r>
        <w:rPr xmlns:w="http://schemas.openxmlformats.org/wordprocessingml/2006/main">
          <w:rFonts w:ascii="Arial" w:cs="Arial" w:eastAsia="Arial" w:hAnsi="Arial"/>
          <w:sz w:val="16"/>
          <w:szCs w:val="16"/>
          <w:color w:val="231F20"/>
        </w:rPr>
        <w:t xml:space="preserve"> Das zeigt, wie wahrscheinlich es ist, dass der Fonds verliert</w:t>
      </w:r>
    </w:p>
    <w:p>
      <w:pPr xmlns:w="http://schemas.openxmlformats.org/wordprocessingml/2006/main">
        <w:spacing w:after="0" w:line="20" w:lineRule="exact"/>
        <w:rPr>
          <w:rFonts w:ascii="Arial" w:cs="Arial" w:eastAsia="Arial" w:hAnsi="Arial"/>
          <w:sz w:val="16"/>
          <w:szCs w:val="16"/>
          <w:color w:val="0000FF"/>
        </w:rPr>
      </w:pPr>
      <w:r>
        <w:rPr xmlns:w="http://schemas.openxmlformats.org/wordprocessingml/2006/main">
          <w:rFonts w:ascii="Arial" w:cs="Arial" w:eastAsia="Arial" w:hAnsi="Arial"/>
          <w:sz w:val="16"/>
          <w:szCs w:val="16"/>
          <w:color w:val="0000FF"/>
        </w:rPr>
        <w:br xmlns:w="http://schemas.openxmlformats.org/wordprocessingml/2006/main" w:type="column"/>
      </w:r>
    </w:p>
    <w:p>
      <w:pPr>
        <w:spacing w:after="0" w:line="368" w:lineRule="exact"/>
        <w:rPr>
          <w:rFonts w:ascii="Arial" w:cs="Arial" w:eastAsia="Arial" w:hAnsi="Arial"/>
          <w:sz w:val="16"/>
          <w:szCs w:val="16"/>
          <w:color w:val="0000FF"/>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Geld aufgrund von Marktbewegungen oder weil wir nicht in der Lage sind, Sie zu bezahlen.</w:t>
      </w:r>
    </w:p>
    <w:p>
      <w:pPr>
        <w:spacing w:after="0" w:line="14" w:lineRule="exact"/>
        <w:rPr>
          <w:rFonts w:ascii="Arial" w:cs="Arial" w:eastAsia="Arial" w:hAnsi="Arial"/>
          <w:sz w:val="16"/>
          <w:szCs w:val="16"/>
          <w:color w:val="0000FF"/>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Wir haben diesen Fonds als 5 von 7 eingestuft, was einer mittleren Risikoklasse entspricht.</w:t>
      </w:r>
      <w:r>
        <w:rPr xmlns:w="http://schemas.openxmlformats.org/wordprocessingml/2006/main">
          <w:rFonts w:ascii="Arial" w:cs="Arial" w:eastAsia="Arial" w:hAnsi="Arial"/>
          <w:sz w:val="16"/>
          <w:szCs w:val="16"/>
          <w:color w:val="231F20"/>
        </w:rPr>
        <w:t xml:space="preserve"> Auf diese Weise werden die potenziellen Verluste aus der künftigen Performance auf einem mittleren bis hohen Niveau bewertet, und die schlechten Marktbedingungen werden sich wahrscheinlich auf die Zahlungsfähigkeit des Fonds auswirken.</w:t>
      </w:r>
    </w:p>
    <w:p>
      <w:pPr>
        <w:spacing w:after="0" w:line="17" w:lineRule="exact"/>
        <w:rPr>
          <w:rFonts w:ascii="Arial" w:cs="Arial" w:eastAsia="Arial" w:hAnsi="Arial"/>
          <w:sz w:val="16"/>
          <w:szCs w:val="16"/>
          <w:color w:val="0000FF"/>
        </w:rPr>
      </w:pPr>
    </w:p>
    <w:p>
      <w:pPr xmlns:w="http://schemas.openxmlformats.org/wordprocessingml/2006/main">
        <w:jc w:val="both"/>
        <w:spacing w:after="0" w:line="231" w:lineRule="auto"/>
        <w:rPr>
          <w:sz w:val="20"/>
          <w:szCs w:val="20"/>
          <w:color w:val="auto"/>
        </w:rPr>
      </w:pPr>
      <w:r>
        <w:rPr xmlns:w="http://schemas.openxmlformats.org/wordprocessingml/2006/main">
          <w:rFonts w:ascii="Arial" w:cs="Arial" w:eastAsia="Arial" w:hAnsi="Arial"/>
          <w:sz w:val="16"/>
          <w:szCs w:val="16"/>
          <w:b w:val="1"/>
          <w:bCs w:val="1"/>
          <w:color w:val="231F20"/>
        </w:rPr>
        <w:t xml:space="preserve">Seien Sie sich des Währungsrisikos bewusst.</w:t>
      </w:r>
      <w:r>
        <w:rPr xmlns:w="http://schemas.openxmlformats.org/wordprocessingml/2006/main">
          <w:rFonts w:ascii="Arial" w:cs="Arial" w:eastAsia="Arial" w:hAnsi="Arial"/>
          <w:sz w:val="16"/>
          <w:szCs w:val="16"/>
          <w:b w:val="1"/>
          <w:bCs w:val="1"/>
          <w:color w:val="231F20"/>
        </w:rPr>
        <w:t xml:space="preserve"> Sie können Zahlungen in einer anderen Währung als der Basiswährung des Fonds erhalten, sodass die endgültige Rendite, die Sie erhalten, vom Wechselkurs zwischen den beiden Währungen abhängt.</w:t>
      </w:r>
      <w:r>
        <w:rPr xmlns:w="http://schemas.openxmlformats.org/wordprocessingml/2006/main">
          <w:rFonts w:ascii="Arial" w:cs="Arial" w:eastAsia="Arial" w:hAnsi="Arial"/>
          <w:sz w:val="16"/>
          <w:szCs w:val="16"/>
          <w:b w:val="1"/>
          <w:bCs w:val="1"/>
          <w:color w:val="231F20"/>
        </w:rPr>
        <w:t xml:space="preserve"> Dieses Risiko wird bei dem oben dargestellten Indikator nicht berücksichtigt.</w:t>
      </w:r>
    </w:p>
    <w:p>
      <w:pPr>
        <w:spacing w:after="0" w:line="83" w:lineRule="exact"/>
        <w:rPr>
          <w:rFonts w:ascii="Arial" w:cs="Arial" w:eastAsia="Arial" w:hAnsi="Arial"/>
          <w:sz w:val="16"/>
          <w:szCs w:val="16"/>
          <w:color w:val="0000FF"/>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Neben den Marktrisiken, die in den Risikoindikatoren enthalten sind, können auch andere Risiken den Fonds beeinflussen, einschließlich Gegenparteirisiko, Index-Tracking-Risiko und Anlagerisiko.</w:t>
      </w:r>
    </w:p>
    <w:p>
      <w:pPr>
        <w:spacing w:after="0" w:line="14" w:lineRule="exact"/>
        <w:rPr>
          <w:rFonts w:ascii="Arial" w:cs="Arial" w:eastAsia="Arial" w:hAnsi="Arial"/>
          <w:sz w:val="16"/>
          <w:szCs w:val="16"/>
          <w:color w:val="0000FF"/>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Weitere Informationen zu Risiken finden Sie im Abschnitt "Risikofaktoren" des Prospekts auf unserer Website unter https://global.vanguard.com.</w:t>
      </w:r>
    </w:p>
    <w:p>
      <w:pPr>
        <w:spacing w:after="0" w:line="4" w:lineRule="exact"/>
        <w:rPr>
          <w:rFonts w:ascii="Arial" w:cs="Arial" w:eastAsia="Arial" w:hAnsi="Arial"/>
          <w:sz w:val="16"/>
          <w:szCs w:val="16"/>
          <w:color w:val="0000FF"/>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Dieser Fonds beinhaltet keinen Schutz vor zukünftigen Marktleistungen, sodass Sie Ihre Investition ganz oder teilweise verlieren könnten.</w:t>
      </w:r>
    </w:p>
    <w:p>
      <w:pPr>
        <w:spacing w:after="0" w:line="13" w:lineRule="exact"/>
        <w:rPr>
          <w:rFonts w:ascii="Arial" w:cs="Arial" w:eastAsia="Arial" w:hAnsi="Arial"/>
          <w:sz w:val="16"/>
          <w:szCs w:val="16"/>
          <w:color w:val="0000FF"/>
        </w:rPr>
      </w:pPr>
    </w:p>
    <w:p>
      <w:pPr xmlns:w="http://schemas.openxmlformats.org/wordprocessingml/2006/main">
        <w:jc w:val="both"/>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Der Wert von Aktien und aktienbezogenen Wertpapieren kann durch tägliche Börsenbewegungen beeinflusst werden.</w:t>
      </w:r>
      <w:r>
        <w:rPr xmlns:w="http://schemas.openxmlformats.org/wordprocessingml/2006/main">
          <w:rFonts w:ascii="Arial" w:cs="Arial" w:eastAsia="Arial" w:hAnsi="Arial"/>
          <w:sz w:val="16"/>
          <w:szCs w:val="16"/>
          <w:color w:val="231F20"/>
        </w:rPr>
        <w:t xml:space="preserve"> Weitere einflussreiche Faktoren sind politische Ereignisse, Wirtschaftsnachrichten, Unternehmenserträge und bedeutende Unternehmensereignisse.</w:t>
      </w:r>
    </w:p>
    <w:p>
      <w:pPr>
        <w:sectPr>
          <w:pgSz w:w="11900" w:h="16838" w:orient="portrait"/>
          <w:cols w:equalWidth="0" w:num="2">
            <w:col w:w="5423" w:space="260"/>
            <w:col w:w="5420"/>
          </w:cols>
          <w:pgMar w:left="397" w:top="552" w:right="406" w:bottom="1440" w:gutter="0" w:footer="0" w:header="0"/>
          <w:type w:val="continuous"/>
        </w:sectPr>
      </w:pPr>
    </w:p>
    <w:bookmarkStart w:id="1" w:name="page2"/>
    <w:bookmarkEnd w:id="1"/>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233045</wp:posOffset>
            </wp:positionH>
            <wp:positionV relativeFrom="page">
              <wp:posOffset>334010</wp:posOffset>
            </wp:positionV>
            <wp:extent cx="7094220" cy="444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r>
        <w:rPr xmlns:w="http://schemas.openxmlformats.org/wordprocessingml/2006/main">
          <w:rFonts w:ascii="Arial" w:cs="Arial" w:eastAsia="Arial" w:hAnsi="Arial"/>
          <w:sz w:val="24"/>
          <w:szCs w:val="24"/>
          <w:color w:val="231F20"/>
        </w:rPr>
        <w:t xml:space="preserve">Leistungsszenarien</w:t>
      </w:r>
    </w:p>
    <w:p>
      <w:pPr>
        <w:spacing w:after="0" w:line="112" w:lineRule="exact"/>
        <w:rPr>
          <w:sz w:val="20"/>
          <w:szCs w:val="20"/>
          <w:color w:val="auto"/>
        </w:rPr>
      </w:pPr>
    </w:p>
    <w:p>
      <w:pPr xmlns:w="http://schemas.openxmlformats.org/wordprocessingml/2006/main">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Was Sie aus diesem Fonds erhalten, hängt von der zukünftigen Marktleistung ab.</w:t>
      </w:r>
      <w:r>
        <w:rPr xmlns:w="http://schemas.openxmlformats.org/wordprocessingml/2006/main">
          <w:rFonts w:ascii="Arial" w:cs="Arial" w:eastAsia="Arial" w:hAnsi="Arial"/>
          <w:sz w:val="16"/>
          <w:szCs w:val="16"/>
          <w:color w:val="231F20"/>
        </w:rPr>
        <w:t xml:space="preserve"> Die Marktentwicklungen in der Zukunft sind ungewiss und können nicht genau vorhergesagt werden.</w:t>
      </w:r>
    </w:p>
    <w:p>
      <w:pPr>
        <w:spacing w:after="0" w:line="14" w:lineRule="exact"/>
        <w:rPr>
          <w:sz w:val="20"/>
          <w:szCs w:val="20"/>
          <w:color w:val="auto"/>
        </w:rPr>
      </w:pPr>
    </w:p>
    <w:p>
      <w:pPr xmlns:w="http://schemas.openxmlformats.org/wordprocessingml/2006/main">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Die dargestellten ungünstigen, moderaten und günstigen Szenarien sind Abbildungen, in denen die schlechteste, durchschnittliche und beste Performance des Index der letzten 10 Jahre verwendet wird.</w:t>
      </w:r>
      <w:r>
        <w:rPr xmlns:w="http://schemas.openxmlformats.org/wordprocessingml/2006/main">
          <w:rFonts w:ascii="Arial" w:cs="Arial" w:eastAsia="Arial" w:hAnsi="Arial"/>
          <w:sz w:val="16"/>
          <w:szCs w:val="16"/>
          <w:color w:val="231F20"/>
        </w:rPr>
        <w:t xml:space="preserve"> Die Märkte könnten sich in Zukunft sehr unterschiedlich entwickeln.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43815</wp:posOffset>
            </wp:positionV>
            <wp:extent cx="7058025" cy="26733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extLst>
                    </a:blip>
                    <a:srcRect/>
                    <a:stretch>
                      <a:fillRect/>
                    </a:stretch>
                  </pic:blipFill>
                  <pic:spPr bwMode="auto">
                    <a:xfrm>
                      <a:off x="0" y="0"/>
                      <a:ext cx="7058025" cy="2673350"/>
                    </a:xfrm>
                    <a:prstGeom prst="rect">
                      <a:avLst/>
                    </a:prstGeom>
                    <a:noFill/>
                  </pic:spPr>
                </pic:pic>
              </a:graphicData>
            </a:graphic>
          </wp:anchor>
        </w:drawing>
      </w:r>
    </w:p>
    <w:p>
      <w:pPr>
        <w:spacing w:after="0" w:line="115" w:lineRule="exact"/>
        <w:rPr>
          <w:sz w:val="20"/>
          <w:szCs w:val="20"/>
          <w:color w:val="auto"/>
        </w:rPr>
      </w:pPr>
    </w:p>
    <w:p>
      <w:pPr xmlns:w="http://schemas.openxmlformats.org/wordprocessingml/2006/main">
        <w:ind w:left="63"/>
        <w:spacing w:after="0"/>
        <w:tabs>
          <w:tab w:leader="none" w:pos="7403" w:val="left"/>
        </w:tabs>
        <w:rPr>
          <w:sz w:val="20"/>
          <w:szCs w:val="20"/>
          <w:color w:val="auto"/>
        </w:rPr>
      </w:pPr>
      <w:r>
        <w:rPr xmlns:w="http://schemas.openxmlformats.org/wordprocessingml/2006/main">
          <w:rFonts w:ascii="Arial" w:cs="Arial" w:eastAsia="Arial" w:hAnsi="Arial"/>
          <w:sz w:val="16"/>
          <w:szCs w:val="16"/>
          <w:b w:val="1"/>
          <w:bCs w:val="1"/>
          <w:color w:val="231F20"/>
        </w:rPr>
        <w:t xml:space="preserve">Empfohlene Haltedauer:</w:t>
        <w:tab xmlns:w="http://schemas.openxmlformats.org/wordprocessingml/2006/main"/>
      </w:r>
      <w:r>
        <w:rPr xmlns:w="http://schemas.openxmlformats.org/wordprocessingml/2006/main">
          <w:rFonts w:ascii="Arial" w:cs="Arial" w:eastAsia="Arial" w:hAnsi="Arial"/>
          <w:sz w:val="16"/>
          <w:szCs w:val="16"/>
          <w:b w:val="1"/>
          <w:bCs w:val="1"/>
          <w:color w:val="231F20"/>
        </w:rPr>
        <w:t xml:space="preserve">5 Jahre</w:t>
      </w:r>
    </w:p>
    <w:p>
      <w:pPr>
        <w:spacing w:after="0" w:line="113" w:lineRule="exact"/>
        <w:rPr>
          <w:sz w:val="20"/>
          <w:szCs w:val="20"/>
          <w:color w:val="auto"/>
        </w:rPr>
      </w:pPr>
    </w:p>
    <w:p>
      <w:pPr xmlns:w="http://schemas.openxmlformats.org/wordprocessingml/2006/main">
        <w:ind w:left="63"/>
        <w:spacing w:after="0"/>
        <w:tabs>
          <w:tab w:leader="none" w:pos="7403" w:val="left"/>
        </w:tabs>
        <w:rPr>
          <w:sz w:val="20"/>
          <w:szCs w:val="20"/>
          <w:color w:val="auto"/>
        </w:rPr>
      </w:pPr>
      <w:r>
        <w:rPr xmlns:w="http://schemas.openxmlformats.org/wordprocessingml/2006/main">
          <w:rFonts w:ascii="Arial" w:cs="Arial" w:eastAsia="Arial" w:hAnsi="Arial"/>
          <w:sz w:val="16"/>
          <w:szCs w:val="16"/>
          <w:b w:val="1"/>
          <w:bCs w:val="1"/>
          <w:color w:val="231F20"/>
        </w:rPr>
        <w:t xml:space="preserve">Investitionsbeispiel:</w:t>
        <w:tab xmlns:w="http://schemas.openxmlformats.org/wordprocessingml/2006/main"/>
      </w:r>
      <w:r>
        <w:rPr xmlns:w="http://schemas.openxmlformats.org/wordprocessingml/2006/main">
          <w:rFonts w:ascii="Arial" w:cs="Arial" w:eastAsia="Arial" w:hAnsi="Arial"/>
          <w:sz w:val="16"/>
          <w:szCs w:val="16"/>
          <w:b w:val="1"/>
          <w:bCs w:val="1"/>
          <w:color w:val="231F20"/>
        </w:rPr>
        <w:t xml:space="preserve">10 000 $</w:t>
      </w:r>
    </w:p>
    <w:p>
      <w:pPr>
        <w:spacing w:after="0" w:line="73" w:lineRule="exact"/>
        <w:rPr>
          <w:sz w:val="20"/>
          <w:szCs w:val="20"/>
          <w:color w:val="auto"/>
        </w:rPr>
      </w:pPr>
    </w:p>
    <w:p>
      <w:pPr xmlns:w="http://schemas.openxmlformats.org/wordprocessingml/2006/main">
        <w:ind w:left="972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Wenn Sie nach 5 beenden</w:t>
      </w:r>
    </w:p>
    <w:p>
      <w:pPr xmlns:w="http://schemas.openxmlformats.org/wordprocessingml/2006/main">
        <w:ind w:left="7503"/>
        <w:spacing w:after="0" w:line="192" w:lineRule="auto"/>
        <w:rPr>
          <w:sz w:val="20"/>
          <w:szCs w:val="20"/>
          <w:color w:val="auto"/>
        </w:rPr>
      </w:pPr>
      <w:r>
        <w:rPr xmlns:w="http://schemas.openxmlformats.org/wordprocessingml/2006/main">
          <w:rFonts w:ascii="Arial" w:cs="Arial" w:eastAsia="Arial" w:hAnsi="Arial"/>
          <w:sz w:val="10"/>
          <w:szCs w:val="10"/>
          <w:b w:val="1"/>
          <w:bCs w:val="1"/>
          <w:color w:val="231F20"/>
        </w:rPr>
        <w:t xml:space="preserve">Wenn Sie nach 1 Jahr beenden</w:t>
      </w:r>
    </w:p>
    <w:p>
      <w:pPr xmlns:w="http://schemas.openxmlformats.org/wordprocessingml/2006/main">
        <w:ind w:left="10583"/>
        <w:spacing w:after="0" w:line="230" w:lineRule="auto"/>
        <w:rPr>
          <w:sz w:val="20"/>
          <w:szCs w:val="20"/>
          <w:color w:val="auto"/>
        </w:rPr>
      </w:pPr>
      <w:r>
        <w:rPr xmlns:w="http://schemas.openxmlformats.org/wordprocessingml/2006/main">
          <w:rFonts w:ascii="Arial" w:cs="Arial" w:eastAsia="Arial" w:hAnsi="Arial"/>
          <w:sz w:val="16"/>
          <w:szCs w:val="16"/>
          <w:b w:val="1"/>
          <w:bCs w:val="1"/>
          <w:color w:val="231F20"/>
        </w:rPr>
        <w:t xml:space="preserve">Jahre</w:t>
      </w:r>
    </w:p>
    <w:p>
      <w:pPr>
        <w:sectPr>
          <w:pgSz w:w="11900" w:h="16838" w:orient="portrait"/>
          <w:cols w:equalWidth="0" w:num="1">
            <w:col w:w="11103"/>
          </w:cols>
          <w:pgMar w:left="397" w:top="606" w:right="406" w:bottom="1440" w:gutter="0" w:footer="0" w:header="0"/>
        </w:sectPr>
      </w:pPr>
    </w:p>
    <w:p>
      <w:pPr>
        <w:spacing w:after="0" w:line="69"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Szenarien</w:t>
      </w:r>
    </w:p>
    <w:p>
      <w:pPr>
        <w:spacing w:after="0" w:line="123"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Minimum</w:t>
      </w:r>
    </w:p>
    <w:p>
      <w:pPr>
        <w:spacing w:after="0" w:line="277"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Beanspruchung</w:t>
      </w:r>
    </w:p>
    <w:p>
      <w:pPr>
        <w:spacing w:after="0" w:line="200" w:lineRule="exact"/>
        <w:rPr>
          <w:sz w:val="20"/>
          <w:szCs w:val="20"/>
          <w:color w:val="auto"/>
        </w:rPr>
      </w:pPr>
    </w:p>
    <w:p>
      <w:pPr>
        <w:spacing w:after="0" w:line="231"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ungünstig</w:t>
      </w:r>
    </w:p>
    <w:p>
      <w:pPr>
        <w:spacing w:after="0" w:line="200" w:lineRule="exact"/>
        <w:rPr>
          <w:sz w:val="20"/>
          <w:szCs w:val="20"/>
          <w:color w:val="auto"/>
        </w:rPr>
      </w:pPr>
    </w:p>
    <w:p>
      <w:pPr>
        <w:spacing w:after="0" w:line="242"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mittelschwer</w:t>
      </w:r>
    </w:p>
    <w:p>
      <w:pPr>
        <w:spacing w:after="0" w:line="200" w:lineRule="exact"/>
        <w:rPr>
          <w:sz w:val="20"/>
          <w:szCs w:val="20"/>
          <w:color w:val="auto"/>
        </w:rPr>
      </w:pPr>
    </w:p>
    <w:p>
      <w:pPr>
        <w:spacing w:after="0" w:line="231"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günstig</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376"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29"/>
        </w:trPr>
        <w:tc>
          <w:tcPr>
            <w:tcW w:w="87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Es gibt keine garantierte Mindestrendite, wenn Sie vor 5 Jahren aussteigen.</w:t>
            </w:r>
            <w:r>
              <w:rPr xmlns:w="http://schemas.openxmlformats.org/wordprocessingml/2006/main">
                <w:rFonts w:ascii="Arial" w:cs="Arial" w:eastAsia="Arial" w:hAnsi="Arial"/>
                <w:sz w:val="16"/>
                <w:szCs w:val="16"/>
                <w:b w:val="1"/>
                <w:bCs w:val="1"/>
                <w:color w:val="231F20"/>
              </w:rPr>
              <w:t xml:space="preserve"> Sie könnten Ihre Investition ganz oder teilweise verlieren.</w:t>
            </w:r>
          </w:p>
        </w:tc>
        <w:tc>
          <w:tcPr>
            <w:tcW w:w="820" w:type="dxa"/>
            <w:vAlign w:val="bottom"/>
          </w:tcPr>
          <w:p>
            <w:pPr>
              <w:spacing w:after="0"/>
              <w:rPr>
                <w:sz w:val="19"/>
                <w:szCs w:val="19"/>
                <w:color w:val="auto"/>
              </w:rPr>
            </w:pP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Was Sie nach den Kosten zurückbekommen könnten</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970 $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1 010 $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Durchschnittliche Rendite pro Jahr</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-90,30 %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-36,78 %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Was Sie nach den Kosten zurückbekommen könnten</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8 140 $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8 630 $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Durchschnittliche Rendite pro Jahr</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-18,60 %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-2,90 %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Was Sie nach den Kosten zurückbekommen könnten</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11 360 $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17 760 $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Durchschnittliche Rendite pro Jahr</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13,60 %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12,17 %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Was Sie nach den Kosten zurückbekommen könnten</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15 590 $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23 210 $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Durchschnittliche Rendite pro Jahr</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55,90 %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18,34 %</w:t>
            </w:r>
          </w:p>
        </w:tc>
      </w:tr>
    </w:tbl>
    <w:p>
      <w:pPr>
        <w:spacing w:after="0" w:line="164" w:lineRule="exact"/>
        <w:rPr>
          <w:sz w:val="20"/>
          <w:szCs w:val="20"/>
          <w:color w:val="auto"/>
        </w:rPr>
      </w:pPr>
    </w:p>
    <w:p>
      <w:pPr>
        <w:sectPr>
          <w:pgSz w:w="11900" w:h="16838" w:orient="portrait"/>
          <w:cols w:equalWidth="0" w:num="2">
            <w:col w:w="1083" w:space="380"/>
            <w:col w:w="9640"/>
          </w:cols>
          <w:pgMar w:left="397" w:top="606" w:right="406" w:bottom="1440" w:gutter="0" w:footer="0" w:header="0"/>
          <w:type w:val="continuous"/>
        </w:sectPr>
      </w:pPr>
    </w:p>
    <w:p>
      <w:pPr xmlns:w="http://schemas.openxmlformats.org/wordprocessingml/2006/main">
        <w:jc w:val="both"/>
        <w:ind w:left="3"/>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Die angegebenen Zahlen enthalten alle Kosten des Fonds selbst, aber möglicherweise nicht alle Kosten, die Sie an Ihren Berater oder Händler zahlen.</w:t>
      </w:r>
      <w:r>
        <w:rPr xmlns:w="http://schemas.openxmlformats.org/wordprocessingml/2006/main">
          <w:rFonts w:ascii="Arial" w:cs="Arial" w:eastAsia="Arial" w:hAnsi="Arial"/>
          <w:sz w:val="16"/>
          <w:szCs w:val="16"/>
          <w:color w:val="231F20"/>
        </w:rPr>
        <w:t xml:space="preserve"> Die Zahlen berücksichtigen nicht Ihre persönliche Steuersituation, die sich auch darauf auswirken kann, wie viel Sie zurückbekommen.</w:t>
      </w:r>
    </w:p>
    <w:p>
      <w:pPr>
        <w:spacing w:after="0" w:line="21" w:lineRule="exact"/>
        <w:rPr>
          <w:sz w:val="20"/>
          <w:szCs w:val="20"/>
          <w:color w:val="auto"/>
        </w:rPr>
      </w:pPr>
    </w:p>
    <w:p>
      <w:pPr xmlns:w="http://schemas.openxmlformats.org/wordprocessingml/2006/main">
        <w:jc w:val="both"/>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Das Stressszenario zeigt, was Sie unter extremen Marktbedingungen zurückbekommen könnten.</w:t>
      </w:r>
    </w:p>
    <w:p>
      <w:pPr>
        <w:spacing w:after="0" w:line="13"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Dieser Fonds lässt sich nicht ohne Weiteres einlösen.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-4445</wp:posOffset>
            </wp:positionV>
            <wp:extent cx="7094220" cy="444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Ungünstiges Szenario: Diese Art von Szenario ist für den Index zwischen 2021 und 2023 eingetreten.</w:t>
      </w:r>
    </w:p>
    <w:p>
      <w:pPr>
        <w:spacing w:after="0" w:line="14" w:lineRule="exact"/>
        <w:rPr>
          <w:sz w:val="20"/>
          <w:szCs w:val="20"/>
          <w:color w:val="auto"/>
        </w:rPr>
      </w:pPr>
    </w:p>
    <w:p>
      <w:pPr xmlns:w="http://schemas.openxmlformats.org/wordprocessingml/2006/main">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Moderates Szenario: Diese Art von Szenario trat für den Index zwischen 2013 und 2018 auf.</w:t>
      </w:r>
    </w:p>
    <w:p>
      <w:pPr>
        <w:spacing w:after="0" w:line="13" w:lineRule="exact"/>
        <w:rPr>
          <w:sz w:val="20"/>
          <w:szCs w:val="20"/>
          <w:color w:val="auto"/>
        </w:rPr>
      </w:pPr>
    </w:p>
    <w:p>
      <w:pPr xmlns:w="http://schemas.openxmlformats.org/wordprocessingml/2006/main">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Günstiges Szenario: Diese Art von Szenario ist für den Index zwischen 2016 und 2021 eingetreten.</w:t>
      </w:r>
    </w:p>
    <w:p>
      <w:pPr>
        <w:spacing w:after="0" w:line="196" w:lineRule="exact"/>
        <w:rPr>
          <w:sz w:val="20"/>
          <w:szCs w:val="20"/>
          <w:color w:val="auto"/>
        </w:rPr>
      </w:pPr>
    </w:p>
    <w:p>
      <w:pPr>
        <w:sectPr>
          <w:pgSz w:w="11900" w:h="16838" w:orient="portrait"/>
          <w:cols w:equalWidth="0" w:num="2">
            <w:col w:w="5423" w:space="260"/>
            <w:col w:w="5420"/>
          </w:cols>
          <w:pgMar w:left="397" w:top="606" w:right="406" w:bottom="1440" w:gutter="0" w:footer="0" w:header="0"/>
          <w:type w:val="continuous"/>
        </w:sect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Was passiert, wenn VGIL nicht auszahlen kann?</w:t>
      </w:r>
    </w:p>
    <w:p>
      <w:pPr>
        <w:spacing w:after="0" w:line="112" w:lineRule="exact"/>
        <w:rPr>
          <w:sz w:val="20"/>
          <w:szCs w:val="20"/>
          <w:color w:val="auto"/>
        </w:rPr>
      </w:pPr>
    </w:p>
    <w:p>
      <w:pPr xmlns:w="http://schemas.openxmlformats.org/wordprocessingml/2006/main">
        <w:jc w:val="both"/>
        <w:ind w:left="3"/>
        <w:spacing w:after="0" w:line="222" w:lineRule="auto"/>
        <w:rPr>
          <w:sz w:val="20"/>
          <w:szCs w:val="20"/>
          <w:color w:val="auto"/>
        </w:rPr>
      </w:pPr>
      <w:r>
        <w:rPr xmlns:w="http://schemas.openxmlformats.org/wordprocessingml/2006/main">
          <w:rFonts w:ascii="Arial" w:cs="Arial" w:eastAsia="Arial" w:hAnsi="Arial"/>
          <w:sz w:val="16"/>
          <w:szCs w:val="16"/>
          <w:color w:val="231F20"/>
        </w:rPr>
        <w:t xml:space="preserve">Die Vermögenswerte des Fonds werden von seiner Verwahrstelle verwahrt.</w:t>
      </w:r>
      <w:r>
        <w:rPr xmlns:w="http://schemas.openxmlformats.org/wordprocessingml/2006/main">
          <w:rFonts w:ascii="Arial" w:cs="Arial" w:eastAsia="Arial" w:hAnsi="Arial"/>
          <w:sz w:val="16"/>
          <w:szCs w:val="16"/>
          <w:color w:val="231F20"/>
        </w:rPr>
        <w:t xml:space="preserve"> Im Falle der Insolvenz der VGIL sind die Vermögenswerte des Fonds in der Verwahrung der Verwahrstelle nicht betroffen.</w:t>
      </w:r>
      <w:r>
        <w:rPr xmlns:w="http://schemas.openxmlformats.org/wordprocessingml/2006/main">
          <w:rFonts w:ascii="Arial" w:cs="Arial" w:eastAsia="Arial" w:hAnsi="Arial"/>
          <w:sz w:val="16"/>
          <w:szCs w:val="16"/>
          <w:color w:val="231F20"/>
        </w:rPr>
        <w:t xml:space="preserve"> Im Falle der Insolvenz der Verwahrstelle oder einer in ihrem Namen handelnden Person kann der Fonds jedoch einen finanziellen Verlust erleiden.</w:t>
      </w:r>
      <w:r>
        <w:rPr xmlns:w="http://schemas.openxmlformats.org/wordprocessingml/2006/main">
          <w:rFonts w:ascii="Arial" w:cs="Arial" w:eastAsia="Arial" w:hAnsi="Arial"/>
          <w:sz w:val="16"/>
          <w:szCs w:val="16"/>
          <w:color w:val="231F20"/>
        </w:rPr>
        <w:t xml:space="preserve"> Dieses Risiko wird bis zu einem gewissen Grad dadurch gemindert, dass die Verwahrstelle aufgrund gesetzlicher Bestimmungen verpflichtet ist, ihre eigenen Vermögenswerte von den Vermögenswerten des Fonds zu trennen.</w:t>
      </w:r>
      <w:r>
        <w:rPr xmlns:w="http://schemas.openxmlformats.org/wordprocessingml/2006/main">
          <w:rFonts w:ascii="Arial" w:cs="Arial" w:eastAsia="Arial" w:hAnsi="Arial"/>
          <w:sz w:val="16"/>
          <w:szCs w:val="16"/>
          <w:color w:val="231F20"/>
        </w:rPr>
        <w:t xml:space="preserve"> Die Verwahrstelle haftet gegenüber dem Fonds und den Anlegern auch für Verluste, die unter anderem aus Fahrlässigkeit, Betrug oder vorsätzlicher Nichterfüllung ihrer Verpflichtungen entstehen (vorbehaltlich bestimmter Einschränkungen).</w:t>
      </w:r>
    </w:p>
    <w:p>
      <w:pPr>
        <w:spacing w:after="0" w:line="23"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Es gibt kein Entschädigungs- oder Garantiesystem, das Sie vor einem Ausfall der Verwahrstelle des Fonds schützt.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-4445</wp:posOffset>
            </wp:positionV>
            <wp:extent cx="7094220" cy="4445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52"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Wie hoch sind die Kosten?</w:t>
      </w:r>
    </w:p>
    <w:p>
      <w:pPr>
        <w:spacing w:after="0" w:line="112" w:lineRule="exact"/>
        <w:rPr>
          <w:sz w:val="20"/>
          <w:szCs w:val="20"/>
          <w:color w:val="auto"/>
        </w:rPr>
      </w:pPr>
    </w:p>
    <w:p>
      <w:pPr xmlns:w="http://schemas.openxmlformats.org/wordprocessingml/2006/main">
        <w:jc w:val="both"/>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Die Person, die Sie über den Fonds berät oder ihn verkauft, kann Ihnen weitere Kosten in Rechnung stellen.</w:t>
      </w:r>
      <w:r>
        <w:rPr xmlns:w="http://schemas.openxmlformats.org/wordprocessingml/2006/main">
          <w:rFonts w:ascii="Arial" w:cs="Arial" w:eastAsia="Arial" w:hAnsi="Arial"/>
          <w:sz w:val="16"/>
          <w:szCs w:val="16"/>
          <w:color w:val="231F20"/>
        </w:rPr>
        <w:t xml:space="preserve"> Wenn ja, wird diese Person Ihnen Informationen über diese Kosten und deren Auswirkungen auf Ihre Investition geben.</w:t>
      </w:r>
    </w:p>
    <w:p>
      <w:pPr>
        <w:spacing w:after="0" w:line="19"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Kosten im Zeitverlauf</w:t>
      </w:r>
    </w:p>
    <w:p>
      <w:pPr>
        <w:spacing w:after="0" w:line="68" w:lineRule="exact"/>
        <w:rPr>
          <w:sz w:val="20"/>
          <w:szCs w:val="20"/>
          <w:color w:val="auto"/>
        </w:rPr>
      </w:pPr>
    </w:p>
    <w:p>
      <w:pPr xmlns:w="http://schemas.openxmlformats.org/wordprocessingml/2006/main">
        <w:jc w:val="both"/>
        <w:ind w:left="3"/>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Die Tabellen zeigen die Beträge, die Ihrer Investition entnommen werden, um verschiedene Arten von Kosten zu decken.</w:t>
      </w:r>
      <w:r>
        <w:rPr xmlns:w="http://schemas.openxmlformats.org/wordprocessingml/2006/main">
          <w:rFonts w:ascii="Arial" w:cs="Arial" w:eastAsia="Arial" w:hAnsi="Arial"/>
          <w:sz w:val="16"/>
          <w:szCs w:val="16"/>
          <w:color w:val="231F20"/>
        </w:rPr>
        <w:t xml:space="preserve"> Diese Beträge hängen davon ab, wie viel Sie investieren, wie lange Sie in den Fonds investieren und wie gut der Fonds dabei abschneidet.</w:t>
      </w:r>
      <w:r>
        <w:rPr xmlns:w="http://schemas.openxmlformats.org/wordprocessingml/2006/main">
          <w:rFonts w:ascii="Arial" w:cs="Arial" w:eastAsia="Arial" w:hAnsi="Arial"/>
          <w:sz w:val="16"/>
          <w:szCs w:val="16"/>
          <w:color w:val="231F20"/>
        </w:rPr>
        <w:t xml:space="preserve"> Die hier dargestellten Beträge sind Abbildungen auf Basis eines Beispielanlagebetrages und verschiedener möglicher Anlageperioden.</w:t>
      </w:r>
    </w:p>
    <w:p>
      <w:pPr>
        <w:spacing w:after="0" w:line="20"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Wir sind davon ausgegangen:</w:t>
      </w:r>
    </w:p>
    <w:p>
      <w:pPr>
        <w:spacing w:after="0" w:line="31" w:lineRule="exact"/>
        <w:rPr>
          <w:sz w:val="20"/>
          <w:szCs w:val="20"/>
          <w:color w:val="auto"/>
        </w:rPr>
      </w:pPr>
    </w:p>
    <w:p>
      <w:pPr xmlns:w="http://schemas.openxmlformats.org/wordprocessingml/2006/main">
        <w:ind w:left="3" w:hanging="3"/>
        <w:spacing w:after="0" w:line="229" w:lineRule="auto"/>
        <w:tabs>
          <w:tab w:leader="none" w:pos="103"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Im ersten Jahr würden Sie den investierten Betrag zurückerhalten (0% jährliche Rendite).</w:t>
      </w:r>
      <w:r>
        <w:rPr xmlns:w="http://schemas.openxmlformats.org/wordprocessingml/2006/main">
          <w:rFonts w:ascii="Arial" w:cs="Arial" w:eastAsia="Arial" w:hAnsi="Arial"/>
          <w:sz w:val="16"/>
          <w:szCs w:val="16"/>
          <w:color w:val="231F20"/>
        </w:rPr>
        <w:t xml:space="preserve"> Für die anderen Haltezeiträume gehen wir davon aus, dass der Fonds wie im gemäßigten Szenario funktioniert</w:t>
      </w:r>
    </w:p>
    <w:p>
      <w:pPr xmlns:w="http://schemas.openxmlformats.org/wordprocessingml/2006/main">
        <w:ind w:left="103" w:hanging="103"/>
        <w:spacing w:after="0"/>
        <w:tabs>
          <w:tab w:leader="none" w:pos="103"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10.000 USD pro Jahr werden investiert.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52705</wp:posOffset>
            </wp:positionH>
            <wp:positionV relativeFrom="paragraph">
              <wp:posOffset>-11430</wp:posOffset>
            </wp:positionV>
            <wp:extent cx="6935470" cy="7029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extLst>
                    </a:blip>
                    <a:srcRect/>
                    <a:stretch>
                      <a:fillRect/>
                    </a:stretch>
                  </pic:blipFill>
                  <pic:spPr bwMode="auto">
                    <a:xfrm>
                      <a:off x="0" y="0"/>
                      <a:ext cx="6935470" cy="702945"/>
                    </a:xfrm>
                    <a:prstGeom prst="rect">
                      <a:avLst/>
                    </a:prstGeom>
                    <a:noFill/>
                  </pic:spPr>
                </pic:pic>
              </a:graphicData>
            </a:graphic>
          </wp:anchor>
        </w:drawing>
      </w:r>
    </w:p>
    <w:p>
      <w:pPr>
        <w:spacing w:after="0" w:line="161" w:lineRule="exact"/>
        <w:rPr>
          <w:sz w:val="20"/>
          <w:szCs w:val="20"/>
          <w:color w:val="auto"/>
        </w:rPr>
      </w:pPr>
    </w:p>
    <w:tbl>
      <w:tblPr>
        <w:tblLayout w:type="fixed"/>
        <w:tblInd w:w="163" w:type="dxa"/>
        <w:tblCellMar>
          <w:top w:w="0" w:type="dxa"/>
          <w:left w:w="0" w:type="dxa"/>
          <w:bottom w:w="0" w:type="dxa"/>
          <w:right w:w="0" w:type="dxa"/>
        </w:tblCellMar>
      </w:tblPr>
      <w:tr>
        <w:trPr>
          <w:trHeight w:val="229"/>
        </w:trPr>
        <w:tc>
          <w:tcPr>
            <w:tcW w:w="3540" w:type="dxa"/>
            <w:vAlign w:val="bottom"/>
          </w:tcPr>
          <w:p>
            <w:pPr>
              <w:spacing w:after="0"/>
              <w:rPr>
                <w:sz w:val="19"/>
                <w:szCs w:val="19"/>
                <w:color w:val="auto"/>
              </w:rPr>
            </w:pPr>
          </w:p>
        </w:tc>
        <w:tc>
          <w:tcPr>
            <w:tcW w:w="4540" w:type="dxa"/>
            <w:vAlign w:val="bottom"/>
          </w:tcPr>
          <w:p>
            <w:pPr xmlns:w="http://schemas.openxmlformats.org/wordprocessingml/2006/main">
              <w:jc w:val="right"/>
              <w:ind w:right="86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Wenn Sie nach 1 Jahr beenden</w:t>
            </w:r>
          </w:p>
        </w:tc>
        <w:tc>
          <w:tcPr>
            <w:tcW w:w="270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Wenn Sie nach 5 Jahren aussteigen</w:t>
            </w:r>
          </w:p>
        </w:tc>
      </w:tr>
      <w:tr>
        <w:trPr>
          <w:trHeight w:val="287"/>
        </w:trPr>
        <w:tc>
          <w:tcPr>
            <w:tcW w:w="35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Gesamtkosten</w:t>
            </w:r>
          </w:p>
        </w:tc>
        <w:tc>
          <w:tcPr>
            <w:tcW w:w="4540" w:type="dxa"/>
            <w:vAlign w:val="bottom"/>
          </w:tcPr>
          <w:p>
            <w:pPr xmlns:w="http://schemas.openxmlformats.org/wordprocessingml/2006/main">
              <w:jc w:val="right"/>
              <w:ind w:right="860"/>
              <w:spacing w:after="0"/>
              <w:rPr>
                <w:sz w:val="20"/>
                <w:szCs w:val="20"/>
                <w:color w:val="auto"/>
              </w:rPr>
            </w:pPr>
            <w:r>
              <w:rPr xmlns:w="http://schemas.openxmlformats.org/wordprocessingml/2006/main">
                <w:rFonts w:ascii="Arial" w:cs="Arial" w:eastAsia="Arial" w:hAnsi="Arial"/>
                <w:sz w:val="16"/>
                <w:szCs w:val="16"/>
                <w:color w:val="231F20"/>
              </w:rPr>
              <w:t xml:space="preserve">9 $</w:t>
            </w:r>
          </w:p>
        </w:tc>
        <w:tc>
          <w:tcPr>
            <w:tcW w:w="270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69 $</w:t>
            </w:r>
          </w:p>
        </w:tc>
      </w:tr>
      <w:tr>
        <w:trPr>
          <w:trHeight w:val="307"/>
        </w:trPr>
        <w:tc>
          <w:tcPr>
            <w:tcW w:w="35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Jährliche Kostenauswirkungen (*)</w:t>
            </w:r>
          </w:p>
        </w:tc>
        <w:tc>
          <w:tcPr>
            <w:tcW w:w="4540" w:type="dxa"/>
            <w:vAlign w:val="bottom"/>
          </w:tcPr>
          <w:p>
            <w:pPr xmlns:w="http://schemas.openxmlformats.org/wordprocessingml/2006/main">
              <w:jc w:val="right"/>
              <w:ind w:right="860"/>
              <w:spacing w:after="0"/>
              <w:rPr>
                <w:sz w:val="20"/>
                <w:szCs w:val="20"/>
                <w:color w:val="auto"/>
              </w:rPr>
            </w:pPr>
            <w:r>
              <w:rPr xmlns:w="http://schemas.openxmlformats.org/wordprocessingml/2006/main">
                <w:rFonts w:ascii="Arial" w:cs="Arial" w:eastAsia="Arial" w:hAnsi="Arial"/>
                <w:sz w:val="16"/>
                <w:szCs w:val="16"/>
                <w:color w:val="231F20"/>
              </w:rPr>
              <w:t xml:space="preserve">0,1 %</w:t>
            </w:r>
          </w:p>
        </w:tc>
        <w:tc>
          <w:tcPr>
            <w:tcW w:w="270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0,1 % pro Jahr</w:t>
            </w:r>
          </w:p>
        </w:tc>
      </w:tr>
    </w:tbl>
    <w:p>
      <w:pPr>
        <w:spacing w:after="0" w:line="194" w:lineRule="exact"/>
        <w:rPr>
          <w:sz w:val="20"/>
          <w:szCs w:val="20"/>
          <w:color w:val="auto"/>
        </w:rPr>
      </w:pPr>
    </w:p>
    <w:p>
      <w:pPr xmlns:w="http://schemas.openxmlformats.org/wordprocessingml/2006/main">
        <w:ind w:left="3" w:hanging="3"/>
        <w:spacing w:after="0" w:line="248" w:lineRule="auto"/>
        <w:tabs>
          <w:tab w:leader="none" w:pos="223"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Dies zeigt, wie die Kosten Ihre Rendite jedes Jahr während der Haltedauer verringern.</w:t>
      </w:r>
      <w:r>
        <w:rPr xmlns:w="http://schemas.openxmlformats.org/wordprocessingml/2006/main">
          <w:rFonts w:ascii="Arial" w:cs="Arial" w:eastAsia="Arial" w:hAnsi="Arial"/>
          <w:sz w:val="16"/>
          <w:szCs w:val="16"/>
          <w:color w:val="231F20"/>
        </w:rPr>
        <w:t xml:space="preserve"> So wird beispielsweise gezeigt, dass bei einem Ausstieg in der empfohlenen Haltedauer die durchschnittliche Rendite pro Jahr voraussichtlich 12,3 % vor Kosten und 12,2 % nach Kosten betragen wird.</w:t>
      </w:r>
    </w:p>
    <w:p>
      <w:pPr>
        <w:spacing w:after="0" w:line="14"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Wir können einen Teil der Kosten mit der Person teilen, die Ihnen den Fonds verkauft, um die Dienstleistungen zu decken, die sie Ihnen erbringen.</w:t>
      </w:r>
      <w:r>
        <w:rPr xmlns:w="http://schemas.openxmlformats.org/wordprocessingml/2006/main">
          <w:rFonts w:ascii="Arial" w:cs="Arial" w:eastAsia="Arial" w:hAnsi="Arial"/>
          <w:sz w:val="16"/>
          <w:szCs w:val="16"/>
          <w:color w:val="231F20"/>
        </w:rPr>
        <w:t xml:space="preserve"> Sie werden Sie über den Betrag informieren.</w:t>
      </w:r>
    </w:p>
    <w:p>
      <w:pPr>
        <w:sectPr>
          <w:pgSz w:w="11900" w:h="16838" w:orient="portrait"/>
          <w:cols w:equalWidth="0" w:num="1">
            <w:col w:w="11103"/>
          </w:cols>
          <w:pgMar w:left="397" w:top="606" w:right="406" w:bottom="1440" w:gutter="0" w:footer="0" w:header="0"/>
          <w:type w:val="continuous"/>
        </w:sectPr>
      </w:pPr>
    </w:p>
    <w:bookmarkStart w:id="2" w:name="page3"/>
    <w:bookmarkEnd w:id="2"/>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Zusammensetzung der Kosten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13335</wp:posOffset>
            </wp:positionV>
            <wp:extent cx="7094220" cy="21755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extLst>
                    </a:blip>
                    <a:srcRect/>
                    <a:stretch>
                      <a:fillRect/>
                    </a:stretch>
                  </pic:blipFill>
                  <pic:spPr bwMode="auto">
                    <a:xfrm>
                      <a:off x="0" y="0"/>
                      <a:ext cx="7094220" cy="2175510"/>
                    </a:xfrm>
                    <a:prstGeom prst="rect">
                      <a:avLst/>
                    </a:prstGeom>
                    <a:noFill/>
                  </pic:spPr>
                </pic:pic>
              </a:graphicData>
            </a:graphic>
          </wp:anchor>
        </w:drawing>
      </w:r>
    </w:p>
    <w:p>
      <w:pPr>
        <w:spacing w:after="0" w:line="202" w:lineRule="exact"/>
        <w:rPr>
          <w:sz w:val="20"/>
          <w:szCs w:val="20"/>
          <w:color w:val="auto"/>
        </w:rPr>
      </w:pPr>
    </w:p>
    <w:tbl>
      <w:tblPr>
        <w:tblLayout w:type="fixed"/>
        <w:tblInd w:w="63" w:type="dxa"/>
        <w:tblCellMar>
          <w:top w:w="0" w:type="dxa"/>
          <w:left w:w="0" w:type="dxa"/>
          <w:bottom w:w="0" w:type="dxa"/>
          <w:right w:w="0" w:type="dxa"/>
        </w:tblCellMar>
      </w:tblPr>
      <w:tr>
        <w:trPr>
          <w:trHeight w:val="229"/>
        </w:trPr>
        <w:tc>
          <w:tcPr>
            <w:tcW w:w="876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Einmalige Kosten bei der Ein- oder Ausreise</w:t>
            </w:r>
          </w:p>
        </w:tc>
        <w:tc>
          <w:tcPr>
            <w:tcW w:w="20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Wenn Sie nach 1 Jahr beenden</w:t>
            </w:r>
          </w:p>
        </w:tc>
      </w:tr>
      <w:tr>
        <w:trPr>
          <w:trHeight w:val="287"/>
        </w:trPr>
        <w:tc>
          <w:tcPr>
            <w:tcW w:w="15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Eintrittskosten</w:t>
            </w:r>
          </w:p>
        </w:tc>
        <w:tc>
          <w:tcPr>
            <w:tcW w:w="7220" w:type="dxa"/>
            <w:vAlign w:val="bottom"/>
          </w:tcPr>
          <w:p>
            <w:pPr xmlns:w="http://schemas.openxmlformats.org/wordprocessingml/2006/main">
              <w:ind w:left="780"/>
              <w:spacing w:after="0"/>
              <w:rPr>
                <w:sz w:val="20"/>
                <w:szCs w:val="20"/>
                <w:color w:val="auto"/>
              </w:rPr>
            </w:pPr>
            <w:r>
              <w:rPr xmlns:w="http://schemas.openxmlformats.org/wordprocessingml/2006/main">
                <w:rFonts w:ascii="Arial" w:cs="Arial" w:eastAsia="Arial" w:hAnsi="Arial"/>
                <w:sz w:val="16"/>
                <w:szCs w:val="16"/>
                <w:color w:val="231F20"/>
              </w:rPr>
              <w:t xml:space="preserve">Der Fonds erhebt keine Startgebühr.</w:t>
            </w:r>
          </w:p>
        </w:tc>
        <w:tc>
          <w:tcPr>
            <w:tcW w:w="2060" w:type="dxa"/>
            <w:vAlign w:val="bottom"/>
          </w:tcPr>
          <w:p>
            <w:pPr xmlns:w="http://schemas.openxmlformats.org/wordprocessingml/2006/main">
              <w:jc w:val="right"/>
              <w:ind w:right="1360"/>
              <w:spacing w:after="0"/>
              <w:rPr>
                <w:sz w:val="20"/>
                <w:szCs w:val="20"/>
                <w:color w:val="auto"/>
              </w:rPr>
            </w:pPr>
            <w:r>
              <w:rPr xmlns:w="http://schemas.openxmlformats.org/wordprocessingml/2006/main">
                <w:rFonts w:ascii="Arial" w:cs="Arial" w:eastAsia="Arial" w:hAnsi="Arial"/>
                <w:sz w:val="16"/>
                <w:szCs w:val="16"/>
                <w:color w:val="231F20"/>
              </w:rPr>
              <w:t xml:space="preserve">0 $</w:t>
            </w:r>
          </w:p>
        </w:tc>
      </w:tr>
      <w:tr>
        <w:trPr>
          <w:trHeight w:val="307"/>
        </w:trPr>
        <w:tc>
          <w:tcPr>
            <w:tcW w:w="15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Ausstiegskosten</w:t>
            </w:r>
          </w:p>
        </w:tc>
        <w:tc>
          <w:tcPr>
            <w:tcW w:w="7220" w:type="dxa"/>
            <w:vAlign w:val="bottom"/>
          </w:tcPr>
          <w:p>
            <w:pPr xmlns:w="http://schemas.openxmlformats.org/wordprocessingml/2006/main">
              <w:ind w:left="780"/>
              <w:spacing w:after="0"/>
              <w:rPr>
                <w:sz w:val="20"/>
                <w:szCs w:val="20"/>
                <w:color w:val="auto"/>
              </w:rPr>
            </w:pPr>
            <w:r>
              <w:rPr xmlns:w="http://schemas.openxmlformats.org/wordprocessingml/2006/main">
                <w:rFonts w:ascii="Arial" w:cs="Arial" w:eastAsia="Arial" w:hAnsi="Arial"/>
                <w:sz w:val="16"/>
                <w:szCs w:val="16"/>
                <w:color w:val="231F20"/>
              </w:rPr>
              <w:t xml:space="preserve">Der Fonds erhebt keine Ausstiegsgebühr, aber die Person, die Ihnen den Fonds verkauft, kann dies tun.</w:t>
            </w:r>
          </w:p>
        </w:tc>
        <w:tc>
          <w:tcPr>
            <w:tcW w:w="2060" w:type="dxa"/>
            <w:vAlign w:val="bottom"/>
          </w:tcPr>
          <w:p>
            <w:pPr xmlns:w="http://schemas.openxmlformats.org/wordprocessingml/2006/main">
              <w:jc w:val="right"/>
              <w:ind w:right="1360"/>
              <w:spacing w:after="0"/>
              <w:rPr>
                <w:sz w:val="20"/>
                <w:szCs w:val="20"/>
                <w:color w:val="auto"/>
              </w:rPr>
            </w:pPr>
            <w:r>
              <w:rPr xmlns:w="http://schemas.openxmlformats.org/wordprocessingml/2006/main">
                <w:rFonts w:ascii="Arial" w:cs="Arial" w:eastAsia="Arial" w:hAnsi="Arial"/>
                <w:sz w:val="16"/>
                <w:szCs w:val="16"/>
                <w:color w:val="231F20"/>
              </w:rPr>
              <w:t xml:space="preserve">0 $</w:t>
            </w:r>
          </w:p>
        </w:tc>
      </w:tr>
    </w:tbl>
    <w:p>
      <w:pPr>
        <w:spacing w:after="0" w:line="91"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8"/>
          <w:szCs w:val="18"/>
          <w:color w:val="auto"/>
        </w:rPr>
        <w:t xml:space="preserve">Laufende Kosten pro Jahr</w:t>
      </w:r>
    </w:p>
    <w:p>
      <w:pPr>
        <w:spacing w:after="0" w:line="82"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color w:val="231F20"/>
        </w:rPr>
        <w:t xml:space="preserve">Verwaltungsgebühren und sonstige</w:t>
      </w:r>
    </w:p>
    <w:p>
      <w:pPr xmlns:w="http://schemas.openxmlformats.org/wordprocessingml/2006/main">
        <w:ind w:left="2383"/>
        <w:spacing w:after="0" w:line="192" w:lineRule="auto"/>
        <w:rPr>
          <w:sz w:val="20"/>
          <w:szCs w:val="20"/>
          <w:color w:val="auto"/>
        </w:rPr>
      </w:pPr>
      <w:r>
        <w:rPr xmlns:w="http://schemas.openxmlformats.org/wordprocessingml/2006/main">
          <w:rFonts w:ascii="Arial" w:cs="Arial" w:eastAsia="Arial" w:hAnsi="Arial"/>
          <w:sz w:val="10"/>
          <w:szCs w:val="10"/>
          <w:color w:val="231F20"/>
        </w:rPr>
        <w:t xml:space="preserve">0,07% des Wertes Ihrer Investition pro Jahr.</w:t>
      </w:r>
      <w:r>
        <w:rPr xmlns:w="http://schemas.openxmlformats.org/wordprocessingml/2006/main">
          <w:rFonts w:ascii="Arial" w:cs="Arial" w:eastAsia="Arial" w:hAnsi="Arial"/>
          <w:sz w:val="10"/>
          <w:szCs w:val="10"/>
          <w:color w:val="231F20"/>
        </w:rPr>
        <w:t xml:space="preserve"> Dies ist eine Schätzung auf der Grundlage der tatsächlichen Kosten über</w:t>
      </w:r>
    </w:p>
    <w:p>
      <w:pPr xmlns:w="http://schemas.openxmlformats.org/wordprocessingml/2006/main">
        <w:jc w:val="both"/>
        <w:ind w:left="2383" w:right="1680" w:hanging="2319"/>
        <w:spacing w:after="0"/>
        <w:tabs>
          <w:tab w:leader="none" w:pos="2363" w:val="left"/>
        </w:tabs>
        <w:rPr>
          <w:sz w:val="20"/>
          <w:szCs w:val="20"/>
          <w:color w:val="auto"/>
        </w:rPr>
      </w:pPr>
      <w:r>
        <w:rPr xmlns:w="http://schemas.openxmlformats.org/wordprocessingml/2006/main">
          <w:rFonts w:ascii="Arial" w:cs="Arial" w:eastAsia="Arial" w:hAnsi="Arial"/>
          <w:sz w:val="16"/>
          <w:szCs w:val="16"/>
          <w:color w:val="231F20"/>
        </w:rPr>
        <w:t xml:space="preserve">Verwaltung oder Betrieb</w:t>
        <w:tab xmlns:w="http://schemas.openxmlformats.org/wordprocessingml/2006/main"/>
      </w:r>
      <w:r>
        <w:rPr xmlns:w="http://schemas.openxmlformats.org/wordprocessingml/2006/main">
          <w:rFonts w:ascii="Arial" w:cs="Arial" w:eastAsia="Arial" w:hAnsi="Arial"/>
          <w:sz w:val="16"/>
          <w:szCs w:val="16"/>
          <w:color w:val="231F20"/>
        </w:rPr>
        <w:t xml:space="preserve">$7 im letzten Jahr und berücksichtigt alle bekannten zukünftigen Änderungen.</w:t>
      </w:r>
    </w:p>
    <w:p>
      <w:pPr xmlns:w="http://schemas.openxmlformats.org/wordprocessingml/2006/main">
        <w:ind w:left="63"/>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Kosten</w:t>
      </w:r>
    </w:p>
    <w:p>
      <w:pPr>
        <w:spacing w:after="0" w:line="93" w:lineRule="exact"/>
        <w:rPr>
          <w:sz w:val="20"/>
          <w:szCs w:val="20"/>
          <w:color w:val="auto"/>
        </w:rPr>
      </w:pPr>
    </w:p>
    <w:p>
      <w:pPr xmlns:w="http://schemas.openxmlformats.org/wordprocessingml/2006/main">
        <w:ind w:left="2383"/>
        <w:spacing w:after="0"/>
        <w:rPr>
          <w:sz w:val="20"/>
          <w:szCs w:val="20"/>
          <w:color w:val="auto"/>
        </w:rPr>
      </w:pPr>
      <w:r>
        <w:rPr xmlns:w="http://schemas.openxmlformats.org/wordprocessingml/2006/main">
          <w:rFonts w:ascii="Arial" w:cs="Arial" w:eastAsia="Arial" w:hAnsi="Arial"/>
          <w:sz w:val="16"/>
          <w:szCs w:val="16"/>
          <w:color w:val="231F20"/>
        </w:rPr>
        <w:t xml:space="preserve">0,02% des Wertes Ihrer Investition pro Jahr.</w:t>
      </w:r>
      <w:r>
        <w:rPr xmlns:w="http://schemas.openxmlformats.org/wordprocessingml/2006/main">
          <w:rFonts w:ascii="Arial" w:cs="Arial" w:eastAsia="Arial" w:hAnsi="Arial"/>
          <w:sz w:val="16"/>
          <w:szCs w:val="16"/>
          <w:color w:val="231F20"/>
        </w:rPr>
        <w:t xml:space="preserve"> Dies ist eine Schätzung der Kosten, die anfallen, wenn</w:t>
      </w:r>
    </w:p>
    <w:p>
      <w:pPr>
        <w:spacing w:after="0" w:line="31" w:lineRule="exact"/>
        <w:rPr>
          <w:sz w:val="20"/>
          <w:szCs w:val="20"/>
          <w:color w:val="auto"/>
        </w:rPr>
      </w:pPr>
    </w:p>
    <w:p>
      <w:pPr xmlns:w="http://schemas.openxmlformats.org/wordprocessingml/2006/main">
        <w:jc w:val="both"/>
        <w:ind w:left="2383" w:right="1680" w:hanging="2319"/>
        <w:spacing w:after="0" w:line="239" w:lineRule="auto"/>
        <w:tabs>
          <w:tab w:leader="none" w:pos="2363" w:val="left"/>
        </w:tabs>
        <w:rPr>
          <w:sz w:val="20"/>
          <w:szCs w:val="20"/>
          <w:color w:val="auto"/>
        </w:rPr>
      </w:pPr>
      <w:r>
        <w:rPr xmlns:w="http://schemas.openxmlformats.org/wordprocessingml/2006/main">
          <w:rFonts w:ascii="Arial" w:cs="Arial" w:eastAsia="Arial" w:hAnsi="Arial"/>
          <w:sz w:val="16"/>
          <w:szCs w:val="16"/>
          <w:color w:val="231F20"/>
        </w:rPr>
        <w:t xml:space="preserve">Transaktionskosten</w:t>
        <w:tab xmlns:w="http://schemas.openxmlformats.org/wordprocessingml/2006/main"/>
      </w:r>
      <w:r>
        <w:rPr xmlns:w="http://schemas.openxmlformats.org/wordprocessingml/2006/main">
          <w:rFonts w:ascii="Arial" w:cs="Arial" w:eastAsia="Arial" w:hAnsi="Arial"/>
          <w:sz w:val="16"/>
          <w:szCs w:val="16"/>
          <w:color w:val="231F20"/>
        </w:rPr>
        <w:t xml:space="preserve">Wir kaufen und verkaufen die zugrunde liegenden Anlagen für den Fonds.</w:t>
      </w:r>
      <w:r>
        <w:rPr xmlns:w="http://schemas.openxmlformats.org/wordprocessingml/2006/main">
          <w:rFonts w:ascii="Arial" w:cs="Arial" w:eastAsia="Arial" w:hAnsi="Arial"/>
          <w:sz w:val="16"/>
          <w:szCs w:val="16"/>
          <w:color w:val="231F20"/>
        </w:rPr>
        <w:t xml:space="preserve"> Der tatsächliche Betrag variiert um 2 $ je nachdem, wie viel wir kaufen und verkaufen.</w:t>
      </w:r>
    </w:p>
    <w:p>
      <w:pPr>
        <w:spacing w:after="0" w:line="92"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8"/>
          <w:szCs w:val="18"/>
          <w:color w:val="auto"/>
        </w:rPr>
        <w:t xml:space="preserve">Unter besonderen Bedingungen getragene Nebenkosten</w:t>
      </w:r>
    </w:p>
    <w:p>
      <w:pPr>
        <w:spacing w:after="0" w:line="17"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color w:val="231F20"/>
        </w:rPr>
        <w:t xml:space="preserve">Für diesen Fonds </w:t>
      </w:r>
      <w:r xmlns:w="http://schemas.openxmlformats.org/wordprocessingml/2006/main">
        <w:rPr>
          <w:sz w:val="1"/>
          <w:szCs w:val="1"/>
          <w:color w:val="auto"/>
        </w:rPr>
        <w:drawing>
          <wp:inline xmlns:wp="http://schemas.openxmlformats.org/drawingml/2006/wordprocessingDrawing" distT="0" distB="0" distL="0" distR="0">
            <wp:extent cx="43180" cy="2330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a:extLst>
                        <a:ext uri="{28A0092B-C50C-407E-A947-70E740481C1C}"/>
                      </a:extLst>
                    </a:blip>
                    <a:srcRect/>
                    <a:stretch>
                      <a:fillRect/>
                    </a:stretch>
                  </pic:blipFill>
                  <pic:spPr bwMode="auto">
                    <a:xfrm>
                      <a:off x="0" y="0"/>
                      <a:ext cx="43180" cy="23304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gibt es keine Leistungsgebühr.</w:t>
      </w:r>
      <w:r>
        <w:rPr xmlns:w="http://schemas.openxmlformats.org/wordprocessingml/2006/main">
          <w:rFonts w:ascii="Arial" w:cs="Arial" w:eastAsia="Arial" w:hAnsi="Arial"/>
          <w:sz w:val="16"/>
          <w:szCs w:val="16"/>
          <w:color w:val="231F20"/>
        </w:rPr>
        <w:t xml:space="preserve">                                            </w:t>
      </w:r>
      <w:r xmlns:w="http://schemas.openxmlformats.org/wordprocessingml/2006/main">
        <w:rPr>
          <w:sz w:val="1"/>
          <w:szCs w:val="1"/>
          <w:color w:val="auto"/>
        </w:rPr>
        <w:drawing>
          <wp:inline xmlns:wp="http://schemas.openxmlformats.org/drawingml/2006/wordprocessingDrawing" distT="0" distB="0" distL="0" distR="0">
            <wp:extent cx="43180" cy="23304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a:extLst>
                        <a:ext uri="{28A0092B-C50C-407E-A947-70E740481C1C}"/>
                      </a:extLst>
                    </a:blip>
                    <a:srcRect/>
                    <a:stretch>
                      <a:fillRect/>
                    </a:stretch>
                  </pic:blipFill>
                  <pic:spPr bwMode="auto">
                    <a:xfrm>
                      <a:off x="0" y="0"/>
                      <a:ext cx="43180" cy="23304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0 $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36830</wp:posOffset>
            </wp:positionV>
            <wp:extent cx="7094220" cy="4445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119"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Wie lange sollte ich es halten und kann ich frühzeitig Geld abheben?</w:t>
      </w:r>
    </w:p>
    <w:p>
      <w:pPr>
        <w:spacing w:after="0" w:line="108"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Empfohlene Haltedauer: 5 Jahre</w:t>
      </w:r>
    </w:p>
    <w:p>
      <w:pPr>
        <w:spacing w:after="0" w:line="54"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Der Fonds verfügt über keine vorgeschriebene Mindesthaltezeit, ist jedoch für langfristige Anlagen ausgelegt; Sie sollten einen Anlagehorizont von mindestens 5 Jahren haben.</w:t>
      </w:r>
    </w:p>
    <w:p>
      <w:pPr>
        <w:spacing w:after="0" w:line="50"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Im Abschnitt "Rücknahme von Aktien" des Prospekts sind bestimmte Gebühren für Rücknahmen aufgeführt.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-4445</wp:posOffset>
            </wp:positionV>
            <wp:extent cx="7094220" cy="4445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1">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53"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Wie kann ich mich beschweren?</w:t>
      </w:r>
    </w:p>
    <w:p>
      <w:pPr>
        <w:spacing w:after="0" w:line="112" w:lineRule="exact"/>
        <w:rPr>
          <w:sz w:val="20"/>
          <w:szCs w:val="20"/>
          <w:color w:val="auto"/>
        </w:rPr>
      </w:pPr>
    </w:p>
    <w:p>
      <w:pPr xmlns:w="http://schemas.openxmlformats.org/wordprocessingml/2006/main">
        <w:jc w:val="both"/>
        <w:ind w:left="3"/>
        <w:spacing w:after="0" w:line="222" w:lineRule="auto"/>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Wenn Sie ein Anleger in unserem VF-Sortiment von Exchange Traded Funds (ETFs) sind, kann es für Sie angemessen sein, sich direkt mit der Bank, dem Broker, der Handelsplattform oder dem Finanzberater, über die Sie Ihre Aktien gekauft haben, in Verbindung zu setzen, insbesondere wenn Ihre Beschwerde dienstleistungsbezogen ist.</w:t>
      </w:r>
      <w:r>
        <w:rPr xmlns:w="http://schemas.openxmlformats.org/wordprocessingml/2006/main">
          <w:rFonts w:ascii="Arial" w:cs="Arial" w:eastAsia="Arial" w:hAnsi="Arial"/>
          <w:sz w:val="16"/>
          <w:szCs w:val="16"/>
          <w:color w:val="231F20"/>
        </w:rPr>
        <w:t xml:space="preserve"> Bitte beachten Sie, dass wir in der Regel Antworten in englischer Sprache geben.</w:t>
      </w:r>
      <w:r>
        <w:rPr xmlns:w="http://schemas.openxmlformats.org/wordprocessingml/2006/main">
          <w:rFonts w:ascii="Arial" w:cs="Arial" w:eastAsia="Arial" w:hAnsi="Arial"/>
          <w:sz w:val="16"/>
          <w:szCs w:val="16"/>
          <w:color w:val="231F20"/>
        </w:rPr>
        <w:t xml:space="preserve"> Sollten Sie aus irgendeinem Grund Probleme haben, Ihre Beschwerde bei uns einzureichen, wenden Sie sich bitte an Vanguard, 4th Floor, The Walbrook Building, 25 Walbrook, London, EC4N 8AF oder European_client_services@vanguard.co.uk.</w:t>
      </w:r>
      <w:r>
        <w:rPr xmlns:w="http://schemas.openxmlformats.org/wordprocessingml/2006/main">
          <w:rFonts w:ascii="Arial" w:cs="Arial" w:eastAsia="Arial" w:hAnsi="Arial"/>
          <w:sz w:val="16"/>
          <w:szCs w:val="16"/>
          <w:color w:val="231F20"/>
        </w:rPr>
        <w:t xml:space="preserve"> Bitte beachten Sie auch, dass es in Ihrem Land kollektive Rechtsbehelfsverfahren oder separate Ombudsmann-Regelungen geben kann. </w:t>
      </w:r>
      <w:hyperlink r:id="rId32">
        <w:r>
          <w:rPr xmlns:w="http://schemas.openxmlformats.org/wordprocessingml/2006/main">
            <w:rFonts w:ascii="Arial" w:cs="Arial" w:eastAsia="Arial" w:hAnsi="Arial"/>
            <w:sz w:val="16"/>
            <w:szCs w:val="16"/>
            <w:color w:val="0000FF"/>
          </w:rPr>
          <w:t xml:space="preserve">https://global.vanguard.com/</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-21590</wp:posOffset>
            </wp:positionV>
            <wp:extent cx="7094220" cy="4445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26"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Sonstige relevante Informationen</w:t>
      </w:r>
    </w:p>
    <w:p>
      <w:pPr>
        <w:spacing w:after="0" w:line="112"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Informationen über die bisherige Leistung des Fonds in den letzten drei Jahren finden Sie unter:</w:t>
      </w:r>
    </w:p>
    <w:p>
      <w:pPr>
        <w:spacing w:after="0" w:line="31" w:lineRule="exact"/>
        <w:rPr>
          <w:sz w:val="20"/>
          <w:szCs w:val="20"/>
          <w:color w:val="auto"/>
        </w:rPr>
      </w:pPr>
    </w:p>
    <w:p>
      <w:pPr xmlns:w="http://schemas.openxmlformats.org/wordprocessingml/2006/main">
        <w:ind w:left="103" w:hanging="103"/>
        <w:spacing w:after="0"/>
        <w:tabs>
          <w:tab w:leader="none" w:pos="103"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https://docs.data2report.lu/documents/KIDPP/Vanguard_KIDPP_annex_en_IE00BFMXXD54.pdf.</w:t>
      </w:r>
    </w:p>
    <w:p>
      <w:pPr>
        <w:spacing w:after="0" w:line="8" w:lineRule="exact"/>
        <w:rPr>
          <w:rFonts w:ascii="Arial" w:cs="Arial" w:eastAsia="Arial" w:hAnsi="Arial"/>
          <w:sz w:val="16"/>
          <w:szCs w:val="16"/>
          <w:color w:val="231F20"/>
        </w:rPr>
      </w:pPr>
    </w:p>
    <w:p>
      <w:pPr xmlns:w="http://schemas.openxmlformats.org/wordprocessingml/2006/main">
        <w:ind w:left="103" w:hanging="103"/>
        <w:spacing w:after="0"/>
        <w:tabs>
          <w:tab w:leader="none" w:pos="103"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https://docs.data2report.lu/documents/KIDPS/Vanguard_KIDPS_annex_en_IE00BFMXXD54.pdf.</w:t>
      </w:r>
    </w:p>
    <w:p>
      <w:pPr>
        <w:spacing w:after="0" w:line="27" w:lineRule="exact"/>
        <w:rPr>
          <w:sz w:val="20"/>
          <w:szCs w:val="20"/>
          <w:color w:val="auto"/>
        </w:rPr>
      </w:pPr>
    </w:p>
    <w:p>
      <w:pPr xmlns:w="http://schemas.openxmlformats.org/wordprocessingml/2006/main">
        <w:jc w:val="both"/>
        <w:ind w:left="3"/>
        <w:spacing w:after="0" w:line="220" w:lineRule="auto"/>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Einzelheiten zur Vergütungspolitik der VGIL sind unter </w:t>
      </w:r>
      <w:hyperlink r:id="rId34">
        <w:r>
          <w:rPr xmlns:w="http://schemas.openxmlformats.org/wordprocessingml/2006/main">
            <w:rFonts w:ascii="Arial" w:cs="Arial" w:eastAsia="Arial" w:hAnsi="Arial"/>
            <w:sz w:val="16"/>
            <w:szCs w:val="16"/>
            <w:color w:val="0000FF"/>
          </w:rPr>
          <w:t xml:space="preserve">https://www.ie.vanguard/content/dam/intl/europe/documents/ch/en/ucits-v-remuneration-policy.pdf</w:t>
        </w:r>
      </w:hyperlink>
      <w:r>
        <w:rPr xmlns:w="http://schemas.openxmlformats.org/wordprocessingml/2006/main">
          <w:rFonts w:ascii="Arial" w:cs="Arial" w:eastAsia="Arial" w:hAnsi="Arial"/>
          <w:sz w:val="16"/>
          <w:szCs w:val="16"/>
          <w:color w:val="231F20"/>
        </w:rPr>
        <w:t xml:space="preserve"> verfügbar,</w:t>
      </w:r>
      <w:r>
        <w:rPr xmlns:w="http://schemas.openxmlformats.org/wordprocessingml/2006/main">
          <w:rFonts w:ascii="Arial" w:cs="Arial" w:eastAsia="Arial" w:hAnsi="Arial"/>
          <w:sz w:val="16"/>
          <w:szCs w:val="16"/>
          <w:color w:val="231F20"/>
        </w:rPr>
        <w:t xml:space="preserve"> einschließlich: a) einer Beschreibung, wie die Vergütung und die Leistungen berechnet werden; und b) der Identität der Personen, die für die Gewährung der Vergütung und der Leistungen verantwortlich sind.</w:t>
      </w:r>
      <w:r>
        <w:rPr xmlns:w="http://schemas.openxmlformats.org/wordprocessingml/2006/main">
          <w:rFonts w:ascii="Arial" w:cs="Arial" w:eastAsia="Arial" w:hAnsi="Arial"/>
          <w:sz w:val="16"/>
          <w:szCs w:val="16"/>
          <w:color w:val="231F20"/>
        </w:rPr>
        <w:t xml:space="preserve"> Eine Kopie dieser Angaben in Papierform ist auf Anfrage bei VGIL at 70 Sir John Rogerson's Quay, Dublin 2, Ireland, kostenlos erhältlich.</w:t>
      </w:r>
      <w:r>
        <w:rPr xmlns:w="http://schemas.openxmlformats.org/wordprocessingml/2006/main">
          <w:rFonts w:ascii="Arial" w:cs="Arial" w:eastAsia="Arial" w:hAnsi="Arial"/>
          <w:sz w:val="16"/>
          <w:szCs w:val="16"/>
          <w:color w:val="231F20"/>
        </w:rPr>
        <w:t xml:space="preserve"> Haftung: VGIL kann allein auf der Grundlage einer in diesem Dokument enthaltenen Aussage, die irreführend, ungenau oder nicht im Einklang mit den entsprechenden Teilen des Prospekts ist, haftbar gemacht werden.</w:t>
      </w:r>
      <w:r>
        <w:rPr xmlns:w="http://schemas.openxmlformats.org/wordprocessingml/2006/main">
          <w:rFonts w:ascii="Arial" w:cs="Arial" w:eastAsia="Arial" w:hAnsi="Arial"/>
          <w:sz w:val="16"/>
          <w:szCs w:val="16"/>
          <w:color w:val="231F20"/>
        </w:rPr>
        <w:t xml:space="preserve"> Steuern: VF unterliegt den irischen Steuergesetzen.</w:t>
      </w:r>
      <w:r>
        <w:rPr xmlns:w="http://schemas.openxmlformats.org/wordprocessingml/2006/main">
          <w:rFonts w:ascii="Arial" w:cs="Arial" w:eastAsia="Arial" w:hAnsi="Arial"/>
          <w:sz w:val="16"/>
          <w:szCs w:val="16"/>
          <w:color w:val="231F20"/>
        </w:rPr>
        <w:t xml:space="preserve"> Je nach Land Ihres Wohnsitzes kann dies Auswirkungen auf Ihre persönliche Steuersituation haben.</w:t>
      </w:r>
      <w:r>
        <w:rPr xmlns:w="http://schemas.openxmlformats.org/wordprocessingml/2006/main">
          <w:rFonts w:ascii="Arial" w:cs="Arial" w:eastAsia="Arial" w:hAnsi="Arial"/>
          <w:sz w:val="16"/>
          <w:szCs w:val="16"/>
          <w:color w:val="231F20"/>
        </w:rPr>
        <w:t xml:space="preserve"> Es wird empfohlen, sich an Ihren Steuerberater zu wenden.</w:t>
      </w:r>
    </w:p>
    <w:sectPr>
      <w:pgSz w:w="11900" w:h="16838" w:orient="portrait"/>
      <w:cols w:equalWidth="0" w:num="1">
        <w:col w:w="11103"/>
      </w:cols>
      <w:pgMar w:left="397" w:top="589" w:right="406"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A59A2FE"/>
    <w:multiLevelType w:val="hybridMultilevel"/>
    <w:lvl w:ilvl="0">
      <w:lvlJc w:val="left"/>
      <w:lvlText w:val="%1."/>
      <w:numFmt w:val="decimal"/>
      <w:start w:val="1"/>
    </w:lvl>
  </w:abstractNum>
  <w:abstractNum w:abstractNumId="1">
    <w:nsid w:val="1259E1B9"/>
    <w:multiLevelType w:val="hybridMultilevel"/>
    <w:lvl w:ilvl="0">
      <w:lvlJc w:val="left"/>
      <w:lvlText w:val="-"/>
      <w:numFmt w:val="bullet"/>
      <w:start w:val="1"/>
    </w:lvl>
  </w:abstractNum>
  <w:abstractNum w:abstractNumId="2">
    <w:nsid w:val="2F392ED8"/>
    <w:multiLevelType w:val="hybridMultilevel"/>
    <w:lvl w:ilvl="0">
      <w:lvlJc w:val="left"/>
      <w:lvlText w:val="(*)"/>
      <w:numFmt w:val="bullet"/>
      <w:start w:val="1"/>
    </w:lvl>
  </w:abstractNum>
  <w:abstractNum w:abstractNumId="3">
    <w:nsid w:val="401CB169"/>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8" Type="http://schemas.openxmlformats.org/officeDocument/2006/relationships/image" Target="media/image5.png"/><Relationship Id="rId19" Type="http://schemas.openxmlformats.org/officeDocument/2006/relationships/image" Target="media/image6.png"/><Relationship Id="rId20" Type="http://schemas.openxmlformats.org/officeDocument/2006/relationships/image" Target="media/image7.png"/><Relationship Id="rId21" Type="http://schemas.openxmlformats.org/officeDocument/2006/relationships/image" Target="media/image8.jpeg"/><Relationship Id="rId22" Type="http://schemas.openxmlformats.org/officeDocument/2006/relationships/image" Target="media/image9.png"/><Relationship Id="rId23" Type="http://schemas.openxmlformats.org/officeDocument/2006/relationships/image" Target="media/image10.png"/><Relationship Id="rId24" Type="http://schemas.openxmlformats.org/officeDocument/2006/relationships/image" Target="media/image11.png"/><Relationship Id="rId25" Type="http://schemas.openxmlformats.org/officeDocument/2006/relationships/image" Target="media/image12.png"/><Relationship Id="rId26" Type="http://schemas.openxmlformats.org/officeDocument/2006/relationships/image" Target="media/image13.png"/><Relationship Id="rId27" Type="http://schemas.openxmlformats.org/officeDocument/2006/relationships/image" Target="media/image14.png"/><Relationship Id="rId28" Type="http://schemas.openxmlformats.org/officeDocument/2006/relationships/image" Target="media/image15.png"/><Relationship Id="rId29" Type="http://schemas.openxmlformats.org/officeDocument/2006/relationships/image" Target="media/image16.png"/><Relationship Id="rId30" Type="http://schemas.openxmlformats.org/officeDocument/2006/relationships/image" Target="media/image17.png"/><Relationship Id="rId31" Type="http://schemas.openxmlformats.org/officeDocument/2006/relationships/image" Target="media/image18.png"/><Relationship Id="rId33" Type="http://schemas.openxmlformats.org/officeDocument/2006/relationships/image" Target="media/image19.png"/><Relationship Id="rId16" Type="http://schemas.openxmlformats.org/officeDocument/2006/relationships/hyperlink" Target="https://global.vanguard.com" TargetMode="External"/><Relationship Id="rId17" Type="http://schemas.openxmlformats.org/officeDocument/2006/relationships/hyperlink" Target="https://global.vanguard.com/portal/site/portal/ucits-documentation" TargetMode="External"/><Relationship Id="rId32" Type="http://schemas.openxmlformats.org/officeDocument/2006/relationships/hyperlink" Target="https://global.vanguard.com/" TargetMode="External"/><Relationship Id="rId34" Type="http://schemas.openxmlformats.org/officeDocument/2006/relationships/hyperlink" Target="https://www.ie.vanguard/content/dam/intl/europe/documents/ch/en/ucits-v-remuneration-policy.pdf"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2023-04-28T14:12:47Z</dcterms:created>
  <dcterms:modified xsi:type="dcterms:W3CDTF">2023-04-28T14:12:47Z</dcterms:modified>
</cp:coreProperties>
</file>