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70" w:lineRule="exact"/>
        <w:rPr>
          <w:sz w:val="24"/>
          <w:szCs w:val="24"/>
          <w:color w:val="auto"/>
        </w:rPr>
      </w:pPr>
      <w:r>
        <w:rPr>
          <w:sz w:val="24"/>
          <w:szCs w:val="24"/>
          <w:color w:val="auto"/>
        </w:rPr>
        <w:drawing>
          <wp:anchor simplePos="0" relativeHeight="251657728" behindDoc="1" locked="0" layoutInCell="0" allowOverlap="1">
            <wp:simplePos x="0" y="0"/>
            <wp:positionH relativeFrom="page">
              <wp:posOffset>5084445</wp:posOffset>
            </wp:positionH>
            <wp:positionV relativeFrom="page">
              <wp:posOffset>472440</wp:posOffset>
            </wp:positionV>
            <wp:extent cx="2116455" cy="4673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extLst>
                    </a:blip>
                    <a:srcRect/>
                    <a:stretch>
                      <a:fillRect/>
                    </a:stretch>
                  </pic:blipFill>
                  <pic:spPr bwMode="auto">
                    <a:xfrm>
                      <a:off x="0" y="0"/>
                      <a:ext cx="2116455" cy="467360"/>
                    </a:xfrm>
                    <a:prstGeom prst="rect">
                      <a:avLst/>
                    </a:prstGeom>
                    <a:noFill/>
                  </pic:spPr>
                </pic:pic>
              </a:graphicData>
            </a:graphic>
          </wp:anchor>
        </w:drawing>
      </w:r>
    </w:p>
    <w:p>
      <w:pPr xmlns:w="http://schemas.openxmlformats.org/wordprocessingml/2006/main">
        <w:ind w:left="200"/>
        <w:spacing w:after="0"/>
        <w:rPr>
          <w:sz w:val="20"/>
          <w:szCs w:val="20"/>
          <w:color w:val="auto"/>
        </w:rPr>
      </w:pPr>
      <w:r>
        <w:rPr xmlns:w="http://schemas.openxmlformats.org/wordprocessingml/2006/main">
          <w:rFonts w:ascii="Arial" w:cs="Arial" w:eastAsia="Arial" w:hAnsi="Arial"/>
          <w:sz w:val="32"/>
          <w:szCs w:val="32"/>
          <w:color w:val="auto"/>
        </w:rPr>
        <w:t xml:space="preserve">Wichtige Informationen für den Anleger</w:t>
      </w:r>
    </w:p>
    <w:p>
      <w:pPr>
        <w:spacing w:after="0" w:line="275" w:lineRule="exact"/>
        <w:rPr>
          <w:sz w:val="24"/>
          <w:szCs w:val="24"/>
          <w:color w:val="auto"/>
        </w:rPr>
      </w:pPr>
    </w:p>
    <w:p>
      <w:pPr xmlns:w="http://schemas.openxmlformats.org/wordprocessingml/2006/main">
        <w:ind w:left="200" w:right="380"/>
        <w:spacing w:after="0" w:line="306" w:lineRule="auto"/>
        <w:rPr>
          <w:sz w:val="20"/>
          <w:szCs w:val="20"/>
          <w:color w:val="auto"/>
        </w:rPr>
      </w:pPr>
      <w:r>
        <w:rPr xmlns:w="http://schemas.openxmlformats.org/wordprocessingml/2006/main">
          <w:rFonts w:ascii="Arial" w:cs="Arial" w:eastAsia="Arial" w:hAnsi="Arial"/>
          <w:sz w:val="15"/>
          <w:szCs w:val="15"/>
          <w:color w:val="auto"/>
        </w:rPr>
        <w:t xml:space="preserve">Dieses Dokument enthält wichtige Informationen für den Anleger zu diesem Fonds.</w:t>
      </w:r>
      <w:r>
        <w:rPr xmlns:w="http://schemas.openxmlformats.org/wordprocessingml/2006/main">
          <w:rFonts w:ascii="Arial" w:cs="Arial" w:eastAsia="Arial" w:hAnsi="Arial"/>
          <w:sz w:val="15"/>
          <w:szCs w:val="15"/>
          <w:color w:val="auto"/>
        </w:rPr>
        <w:t xml:space="preserve"> Es ist kein Marketingmaterial.</w:t>
      </w:r>
      <w:r>
        <w:rPr xmlns:w="http://schemas.openxmlformats.org/wordprocessingml/2006/main">
          <w:rFonts w:ascii="Arial" w:cs="Arial" w:eastAsia="Arial" w:hAnsi="Arial"/>
          <w:sz w:val="15"/>
          <w:szCs w:val="15"/>
          <w:color w:val="auto"/>
        </w:rPr>
        <w:t xml:space="preserve"> Die Informationen sind gesetzlich vorgeschrieben, damit Sie die Art und die Risiken der Anlage in diesen Fonds verstehen können.</w:t>
      </w:r>
      <w:r>
        <w:rPr xmlns:w="http://schemas.openxmlformats.org/wordprocessingml/2006/main">
          <w:rFonts w:ascii="Arial" w:cs="Arial" w:eastAsia="Arial" w:hAnsi="Arial"/>
          <w:sz w:val="15"/>
          <w:szCs w:val="15"/>
          <w:color w:val="auto"/>
        </w:rPr>
        <w:t xml:space="preserve"> Es wird empfohlen, diese Informationen zu lesen, damit Sie eine fundierte Investitionsentscheidung treffen können.</w:t>
      </w:r>
    </w:p>
    <w:p>
      <w:pPr>
        <w:spacing w:after="0" w:line="101" w:lineRule="exact"/>
        <w:rPr>
          <w:sz w:val="24"/>
          <w:szCs w:val="24"/>
          <w:color w:val="auto"/>
        </w:rPr>
      </w:pPr>
    </w:p>
    <w:tbl>
      <w:tblPr>
        <w:tblLayout w:type="fixed"/>
        <w:tblInd w:w="0" w:type="dxa"/>
        <w:tblCellMar>
          <w:top w:w="0" w:type="dxa"/>
          <w:left w:w="0" w:type="dxa"/>
          <w:bottom w:w="0" w:type="dxa"/>
          <w:right w:w="0" w:type="dxa"/>
        </w:tblCellMar>
      </w:tblPr>
      <w:tr>
        <w:trPr>
          <w:trHeight w:val="300"/>
        </w:trPr>
        <w:tc>
          <w:tcPr>
            <w:tcW w:w="200" w:type="dxa"/>
            <w:vAlign w:val="bottom"/>
            <w:shd w:val="clear" w:color="auto" w:fill="E2E2E2"/>
          </w:tcPr>
          <w:p>
            <w:pPr>
              <w:spacing w:after="0"/>
              <w:rPr>
                <w:sz w:val="24"/>
                <w:szCs w:val="24"/>
                <w:color w:val="auto"/>
              </w:rPr>
            </w:pPr>
          </w:p>
        </w:tc>
        <w:tc>
          <w:tcPr>
            <w:tcW w:w="5160" w:type="dxa"/>
            <w:vAlign w:val="bottom"/>
            <w:shd w:val="clear" w:color="auto" w:fill="E2E2E2"/>
          </w:tcPr>
          <w:p>
            <w:pPr xmlns:w="http://schemas.openxmlformats.org/wordprocessingml/2006/main">
              <w:spacing w:after="0"/>
              <w:rPr>
                <w:sz w:val="20"/>
                <w:szCs w:val="20"/>
                <w:color w:val="auto"/>
              </w:rPr>
            </w:pPr>
            <w:r>
              <w:rPr xmlns:w="http://schemas.openxmlformats.org/wordprocessingml/2006/main">
                <w:rFonts w:ascii="Arial" w:cs="Arial" w:eastAsia="Arial" w:hAnsi="Arial"/>
                <w:sz w:val="24"/>
                <w:szCs w:val="24"/>
                <w:b w:val="1"/>
                <w:bCs w:val="1"/>
                <w:color w:val="231F20"/>
              </w:rPr>
              <w:t xml:space="preserve">Vanguard S&amp;P 500 UCITS ETF (der "Fonds")</w:t>
            </w:r>
          </w:p>
        </w:tc>
        <w:tc>
          <w:tcPr>
            <w:tcW w:w="5820" w:type="dxa"/>
            <w:vAlign w:val="bottom"/>
            <w:gridSpan w:val="2"/>
            <w:shd w:val="clear" w:color="auto" w:fill="E2E2E2"/>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8"/>
                <w:szCs w:val="18"/>
                <w:b w:val="1"/>
                <w:bCs w:val="1"/>
                <w:color w:val="231F20"/>
              </w:rPr>
              <w:t xml:space="preserve">(USD) Verteilen</w:t>
            </w:r>
          </w:p>
        </w:tc>
        <w:tc>
          <w:tcPr>
            <w:tcW w:w="0" w:type="dxa"/>
            <w:vAlign w:val="bottom"/>
          </w:tcPr>
          <w:p>
            <w:pPr>
              <w:spacing w:after="0"/>
              <w:rPr>
                <w:sz w:val="1"/>
                <w:szCs w:val="1"/>
                <w:color w:val="auto"/>
              </w:rPr>
            </w:pPr>
          </w:p>
        </w:tc>
      </w:tr>
      <w:tr>
        <w:trPr>
          <w:trHeight w:val="240"/>
        </w:trPr>
        <w:tc>
          <w:tcPr>
            <w:tcW w:w="200" w:type="dxa"/>
            <w:vAlign w:val="bottom"/>
            <w:shd w:val="clear" w:color="auto" w:fill="E2E2E2"/>
          </w:tcPr>
          <w:p>
            <w:pPr>
              <w:spacing w:after="0"/>
              <w:rPr>
                <w:sz w:val="20"/>
                <w:szCs w:val="20"/>
                <w:color w:val="auto"/>
              </w:rPr>
            </w:pPr>
          </w:p>
        </w:tc>
        <w:tc>
          <w:tcPr>
            <w:tcW w:w="5160" w:type="dxa"/>
            <w:vAlign w:val="bottom"/>
            <w:vMerge w:val="restart"/>
            <w:shd w:val="clear" w:color="auto" w:fill="E2E2E2"/>
          </w:tcPr>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color w:val="231F20"/>
              </w:rPr>
              <w:t xml:space="preserve">Ein Teilfonds von Vanguard Funds PLC</w:t>
            </w:r>
          </w:p>
        </w:tc>
        <w:tc>
          <w:tcPr>
            <w:tcW w:w="5820" w:type="dxa"/>
            <w:vAlign w:val="bottom"/>
            <w:gridSpan w:val="2"/>
            <w:shd w:val="clear" w:color="auto" w:fill="E2E2E2"/>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8"/>
                <w:szCs w:val="18"/>
                <w:b w:val="1"/>
                <w:bCs w:val="1"/>
                <w:color w:val="231F20"/>
              </w:rPr>
              <w:t xml:space="preserve">ISIN: IE00B3XXRP09</w:t>
            </w:r>
          </w:p>
        </w:tc>
        <w:tc>
          <w:tcPr>
            <w:tcW w:w="0" w:type="dxa"/>
            <w:vAlign w:val="bottom"/>
          </w:tcPr>
          <w:p>
            <w:pPr>
              <w:spacing w:after="0"/>
              <w:rPr>
                <w:sz w:val="1"/>
                <w:szCs w:val="1"/>
                <w:color w:val="auto"/>
              </w:rPr>
            </w:pPr>
          </w:p>
        </w:tc>
      </w:tr>
      <w:tr>
        <w:trPr>
          <w:trHeight w:val="58"/>
        </w:trPr>
        <w:tc>
          <w:tcPr>
            <w:tcW w:w="200" w:type="dxa"/>
            <w:vAlign w:val="bottom"/>
            <w:shd w:val="clear" w:color="auto" w:fill="E2E2E2"/>
          </w:tcPr>
          <w:p>
            <w:pPr>
              <w:spacing w:after="0"/>
              <w:rPr>
                <w:sz w:val="5"/>
                <w:szCs w:val="5"/>
                <w:color w:val="auto"/>
              </w:rPr>
            </w:pPr>
          </w:p>
        </w:tc>
        <w:tc>
          <w:tcPr>
            <w:tcW w:w="5160" w:type="dxa"/>
            <w:vAlign w:val="bottom"/>
            <w:vMerge w:val="continue"/>
            <w:shd w:val="clear" w:color="auto" w:fill="E2E2E2"/>
          </w:tcPr>
          <w:p>
            <w:pPr>
              <w:spacing w:after="0"/>
              <w:rPr>
                <w:sz w:val="5"/>
                <w:szCs w:val="5"/>
                <w:color w:val="auto"/>
              </w:rPr>
            </w:pPr>
          </w:p>
        </w:tc>
        <w:tc>
          <w:tcPr>
            <w:tcW w:w="5820" w:type="dxa"/>
            <w:vAlign w:val="bottom"/>
            <w:gridSpan w:val="2"/>
            <w:vMerge w:val="restart"/>
            <w:shd w:val="clear" w:color="auto" w:fill="E2E2E2"/>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231F20"/>
              </w:rPr>
              <w:t xml:space="preserve">Manager: Vanguard Group (Ireland) Limited ("VGIL")</w:t>
            </w:r>
          </w:p>
        </w:tc>
        <w:tc>
          <w:tcPr>
            <w:tcW w:w="0" w:type="dxa"/>
            <w:vAlign w:val="bottom"/>
          </w:tcPr>
          <w:p>
            <w:pPr>
              <w:spacing w:after="0"/>
              <w:rPr>
                <w:sz w:val="1"/>
                <w:szCs w:val="1"/>
                <w:color w:val="auto"/>
              </w:rPr>
            </w:pPr>
          </w:p>
        </w:tc>
      </w:tr>
      <w:tr>
        <w:trPr>
          <w:trHeight w:val="182"/>
        </w:trPr>
        <w:tc>
          <w:tcPr>
            <w:tcW w:w="200" w:type="dxa"/>
            <w:vAlign w:val="bottom"/>
            <w:tcBorders>
              <w:bottom w:val="single" w:sz="8" w:color="E2E2E2"/>
            </w:tcBorders>
            <w:shd w:val="clear" w:color="auto" w:fill="E2E2E2"/>
          </w:tcPr>
          <w:p>
            <w:pPr>
              <w:spacing w:after="0"/>
              <w:rPr>
                <w:sz w:val="15"/>
                <w:szCs w:val="15"/>
                <w:color w:val="auto"/>
              </w:rPr>
            </w:pPr>
          </w:p>
        </w:tc>
        <w:tc>
          <w:tcPr>
            <w:tcW w:w="5160" w:type="dxa"/>
            <w:vAlign w:val="bottom"/>
            <w:tcBorders>
              <w:bottom w:val="single" w:sz="8" w:color="E2E2E2"/>
            </w:tcBorders>
            <w:shd w:val="clear" w:color="auto" w:fill="E2E2E2"/>
          </w:tcPr>
          <w:p>
            <w:pPr>
              <w:spacing w:after="0"/>
              <w:rPr>
                <w:sz w:val="15"/>
                <w:szCs w:val="15"/>
                <w:color w:val="auto"/>
              </w:rPr>
            </w:pPr>
          </w:p>
        </w:tc>
        <w:tc>
          <w:tcPr>
            <w:tcW w:w="5820" w:type="dxa"/>
            <w:vAlign w:val="bottom"/>
            <w:tcBorders>
              <w:bottom w:val="single" w:sz="8" w:color="E2E2E2"/>
            </w:tcBorders>
            <w:gridSpan w:val="2"/>
            <w:vMerge w:val="continue"/>
            <w:shd w:val="clear" w:color="auto" w:fill="E2E2E2"/>
          </w:tcPr>
          <w:p>
            <w:pPr>
              <w:spacing w:after="0"/>
              <w:rPr>
                <w:sz w:val="15"/>
                <w:szCs w:val="15"/>
                <w:color w:val="auto"/>
              </w:rPr>
            </w:pPr>
          </w:p>
        </w:tc>
        <w:tc>
          <w:tcPr>
            <w:tcW w:w="0" w:type="dxa"/>
            <w:vAlign w:val="bottom"/>
          </w:tcPr>
          <w:p>
            <w:pPr>
              <w:spacing w:after="0"/>
              <w:rPr>
                <w:sz w:val="1"/>
                <w:szCs w:val="1"/>
                <w:color w:val="auto"/>
              </w:rPr>
            </w:pPr>
          </w:p>
        </w:tc>
      </w:tr>
      <w:tr>
        <w:trPr>
          <w:trHeight w:val="196"/>
        </w:trPr>
        <w:tc>
          <w:tcPr>
            <w:tcW w:w="200" w:type="dxa"/>
            <w:vAlign w:val="bottom"/>
          </w:tcPr>
          <w:p>
            <w:pPr>
              <w:spacing w:after="0"/>
              <w:rPr>
                <w:sz w:val="17"/>
                <w:szCs w:val="17"/>
                <w:color w:val="auto"/>
              </w:rPr>
            </w:pPr>
          </w:p>
        </w:tc>
        <w:tc>
          <w:tcPr>
            <w:tcW w:w="5160" w:type="dxa"/>
            <w:vAlign w:val="bottom"/>
            <w:tcBorders>
              <w:bottom w:val="single" w:sz="8" w:color="231F20"/>
            </w:tcBorders>
          </w:tcPr>
          <w:p>
            <w:pPr>
              <w:spacing w:after="0"/>
              <w:rPr>
                <w:sz w:val="17"/>
                <w:szCs w:val="17"/>
                <w:color w:val="auto"/>
              </w:rPr>
            </w:pPr>
          </w:p>
        </w:tc>
        <w:tc>
          <w:tcPr>
            <w:tcW w:w="5620" w:type="dxa"/>
            <w:vAlign w:val="bottom"/>
            <w:tcBorders>
              <w:bottom w:val="single" w:sz="8" w:color="231F20"/>
            </w:tcBorders>
          </w:tcPr>
          <w:p>
            <w:pPr>
              <w:spacing w:after="0"/>
              <w:rPr>
                <w:sz w:val="17"/>
                <w:szCs w:val="17"/>
                <w:color w:val="auto"/>
              </w:rPr>
            </w:pPr>
          </w:p>
        </w:tc>
        <w:tc>
          <w:tcPr>
            <w:tcW w:w="220" w:type="dxa"/>
            <w:vAlign w:val="bottom"/>
          </w:tcPr>
          <w:p>
            <w:pPr>
              <w:spacing w:after="0"/>
              <w:rPr>
                <w:sz w:val="17"/>
                <w:szCs w:val="17"/>
                <w:color w:val="auto"/>
              </w:rPr>
            </w:pPr>
          </w:p>
        </w:tc>
        <w:tc>
          <w:tcPr>
            <w:tcW w:w="0" w:type="dxa"/>
            <w:vAlign w:val="bottom"/>
          </w:tcPr>
          <w:p>
            <w:pPr>
              <w:spacing w:after="0"/>
              <w:rPr>
                <w:sz w:val="1"/>
                <w:szCs w:val="1"/>
                <w:color w:val="auto"/>
              </w:rPr>
            </w:pPr>
          </w:p>
        </w:tc>
      </w:tr>
    </w:tbl>
    <w:p>
      <w:pPr>
        <w:spacing w:after="0" w:line="73" w:lineRule="exact"/>
        <w:rPr>
          <w:sz w:val="24"/>
          <w:szCs w:val="24"/>
          <w:color w:val="auto"/>
        </w:rPr>
      </w:pPr>
    </w:p>
    <w:p>
      <w:pPr xmlns:w="http://schemas.openxmlformats.org/wordprocessingml/2006/main">
        <w:ind w:left="200"/>
        <w:spacing w:after="0"/>
        <w:rPr>
          <w:sz w:val="20"/>
          <w:szCs w:val="20"/>
          <w:color w:val="auto"/>
        </w:rPr>
      </w:pPr>
      <w:r>
        <w:rPr xmlns:w="http://schemas.openxmlformats.org/wordprocessingml/2006/main">
          <w:rFonts w:ascii="Arial" w:cs="Arial" w:eastAsia="Arial" w:hAnsi="Arial"/>
          <w:sz w:val="24"/>
          <w:szCs w:val="24"/>
          <w:color w:val="231F20"/>
        </w:rPr>
        <w:t xml:space="preserve">Ziele und Investitionspolitik</w:t>
      </w:r>
    </w:p>
    <w:p>
      <w:pPr>
        <w:sectPr>
          <w:pgSz w:w="11900" w:h="16910" w:orient="portrait"/>
          <w:cols w:equalWidth="0" w:num="1">
            <w:col w:w="11180"/>
          </w:cols>
          <w:pgMar w:left="360" w:top="969" w:right="360" w:bottom="0" w:gutter="0" w:footer="0" w:header="0"/>
        </w:sectPr>
      </w:pPr>
    </w:p>
    <w:p>
      <w:pPr>
        <w:spacing w:after="0" w:line="138" w:lineRule="exact"/>
        <w:rPr>
          <w:sz w:val="24"/>
          <w:szCs w:val="24"/>
          <w:color w:val="auto"/>
        </w:rPr>
      </w:pPr>
    </w:p>
    <w:p>
      <w:pPr xmlns:w="http://schemas.openxmlformats.org/wordprocessingml/2006/main">
        <w:jc w:val="both"/>
        <w:ind w:left="340" w:hanging="139"/>
        <w:spacing w:after="0" w:line="232" w:lineRule="auto"/>
        <w:rPr>
          <w:sz w:val="20"/>
          <w:szCs w:val="20"/>
          <w:color w:val="auto"/>
        </w:rPr>
      </w:pPr>
      <w:r>
        <w:rPr xmlns:w="http://schemas.openxmlformats.org/wordprocessingml/2006/main">
          <w:rFonts w:ascii="Arial" w:cs="Arial" w:eastAsia="Arial" w:hAnsi="Arial"/>
          <w:sz w:val="16"/>
          <w:szCs w:val="16"/>
          <w:color w:val="231F20"/>
        </w:rPr>
        <w:t xml:space="preserve">2 Der Fonds verfolgt durch den physischen Erwerb von Wertpapieren einen passiven Ansatz zur Verwaltung - oder Indexierung - von Investitionen und versucht, die Wertentwicklung des Standard and Poor's 500 Index (der "Index") zu verfolgen.</w:t>
      </w:r>
    </w:p>
    <w:p>
      <w:pPr>
        <w:spacing w:after="0" w:line="1" w:lineRule="exact"/>
        <w:rPr>
          <w:sz w:val="24"/>
          <w:szCs w:val="24"/>
          <w:color w:val="auto"/>
        </w:rPr>
      </w:pPr>
    </w:p>
    <w:p>
      <w:pPr xmlns:w="http://schemas.openxmlformats.org/wordprocessingml/2006/main">
        <w:ind w:left="340" w:hanging="140"/>
        <w:spacing w:after="0"/>
        <w:tabs>
          <w:tab w:leader="none" w:pos="340" w:val="left"/>
        </w:tabs>
        <w:numPr>
          <w:ilvl w:val="0"/>
          <w:numId w:val="1"/>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Der Index setzt sich aus großen Unternehmensaktien in den USA zusammen.</w:t>
      </w:r>
    </w:p>
    <w:p>
      <w:pPr>
        <w:spacing w:after="0" w:line="16" w:lineRule="exact"/>
        <w:rPr>
          <w:sz w:val="24"/>
          <w:szCs w:val="24"/>
          <w:color w:val="auto"/>
        </w:rPr>
      </w:pPr>
    </w:p>
    <w:p>
      <w:pPr xmlns:w="http://schemas.openxmlformats.org/wordprocessingml/2006/main">
        <w:ind w:left="340" w:hanging="140"/>
        <w:spacing w:after="0"/>
        <w:tabs>
          <w:tab w:leader="none" w:pos="340" w:val="left"/>
        </w:tabs>
        <w:numPr>
          <w:ilvl w:val="0"/>
          <w:numId w:val="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Der Fonds versucht,</w:t>
      </w:r>
    </w:p>
    <w:p>
      <w:pPr>
        <w:spacing w:after="0" w:line="9" w:lineRule="exact"/>
        <w:rPr>
          <w:rFonts w:ascii="Arial" w:cs="Arial" w:eastAsia="Arial" w:hAnsi="Arial"/>
          <w:sz w:val="16"/>
          <w:szCs w:val="16"/>
          <w:color w:val="231F20"/>
        </w:rPr>
      </w:pPr>
    </w:p>
    <w:p>
      <w:pPr xmlns:w="http://schemas.openxmlformats.org/wordprocessingml/2006/main">
        <w:jc w:val="both"/>
        <w:ind w:left="340"/>
        <w:spacing w:after="0" w:line="208" w:lineRule="auto"/>
        <w:tabs>
          <w:tab w:leader="none" w:pos="544" w:val="left"/>
        </w:tabs>
        <w:numPr>
          <w:ilvl w:val="1"/>
          <w:numId w:val="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Nachverfolgung der Wertentwicklung des Index durch Anlage in alle Einzelwertpapiere des Index im selben Verhältnis wie der Index.</w:t>
      </w:r>
      <w:r>
        <w:rPr xmlns:w="http://schemas.openxmlformats.org/wordprocessingml/2006/main">
          <w:rFonts w:ascii="Arial" w:cs="Arial" w:eastAsia="Arial" w:hAnsi="Arial"/>
          <w:sz w:val="16"/>
          <w:szCs w:val="16"/>
          <w:color w:val="231F20"/>
        </w:rPr>
        <w:t xml:space="preserve"> Wo es nicht möglich ist, eine vollständige Wiederholung vorzunehmen, wird der Fonds ein Stichprobenverfahren anwenden.</w:t>
      </w:r>
    </w:p>
    <w:p>
      <w:pPr>
        <w:spacing w:after="0" w:line="1" w:lineRule="exact"/>
        <w:rPr>
          <w:rFonts w:ascii="Arial" w:cs="Arial" w:eastAsia="Arial" w:hAnsi="Arial"/>
          <w:sz w:val="16"/>
          <w:szCs w:val="16"/>
          <w:color w:val="231F20"/>
        </w:rPr>
      </w:pPr>
    </w:p>
    <w:p>
      <w:pPr xmlns:w="http://schemas.openxmlformats.org/wordprocessingml/2006/main">
        <w:jc w:val="both"/>
        <w:ind w:left="340"/>
        <w:spacing w:after="0" w:line="211" w:lineRule="auto"/>
        <w:tabs>
          <w:tab w:leader="none" w:pos="503" w:val="left"/>
        </w:tabs>
        <w:numPr>
          <w:ilvl w:val="1"/>
          <w:numId w:val="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Vollständig investiert bleiben, außer in außergewöhnliche Marktbedingungen, politische oder ähnliche Bedingungen, bei denen der Fonds vorübergehend von dieser Anlagepolitik abweichen kann, um Verluste zu vermeiden.</w:t>
      </w:r>
    </w:p>
    <w:p>
      <w:pPr>
        <w:spacing w:after="0" w:line="1" w:lineRule="exact"/>
        <w:rPr>
          <w:sz w:val="24"/>
          <w:szCs w:val="24"/>
          <w:color w:val="auto"/>
        </w:rPr>
      </w:pPr>
    </w:p>
    <w:p>
      <w:pPr xmlns:w="http://schemas.openxmlformats.org/wordprocessingml/2006/main">
        <w:jc w:val="both"/>
        <w:ind w:left="340" w:hanging="139"/>
        <w:spacing w:after="0" w:line="221" w:lineRule="auto"/>
        <w:rPr>
          <w:sz w:val="20"/>
          <w:szCs w:val="20"/>
          <w:color w:val="auto"/>
        </w:rPr>
      </w:pPr>
      <w:r>
        <w:rPr xmlns:w="http://schemas.openxmlformats.org/wordprocessingml/2006/main">
          <w:rFonts w:ascii="Arial" w:cs="Arial" w:eastAsia="Arial" w:hAnsi="Arial"/>
          <w:sz w:val="16"/>
          <w:szCs w:val="16"/>
          <w:color w:val="231F20"/>
        </w:rPr>
        <w:t xml:space="preserve">2 Der Fonds kann Derivate einsetzen, um Risiken oder Kosten zu verringern und/oder zusätzliche Einnahmen oder Wachstum zu generieren.</w:t>
      </w:r>
      <w:r>
        <w:rPr xmlns:w="http://schemas.openxmlformats.org/wordprocessingml/2006/main">
          <w:rFonts w:ascii="Arial" w:cs="Arial" w:eastAsia="Arial" w:hAnsi="Arial"/>
          <w:sz w:val="16"/>
          <w:szCs w:val="16"/>
          <w:color w:val="231F20"/>
        </w:rPr>
        <w:t xml:space="preserve"> Ein Derivat ist ein Finanzkontrakt, dessen Wert auf dem Wert eines finanziellen Vermögenswerts (wie einer Aktie, einer Anleihe oder einer Währung) oder einem Marktindex basiert.</w:t>
      </w:r>
    </w:p>
    <w:p>
      <w:pPr>
        <w:spacing w:after="0" w:line="2" w:lineRule="exact"/>
        <w:rPr>
          <w:sz w:val="24"/>
          <w:szCs w:val="24"/>
          <w:color w:val="auto"/>
        </w:rPr>
      </w:pPr>
    </w:p>
    <w:p>
      <w:pPr xmlns:w="http://schemas.openxmlformats.org/wordprocessingml/2006/main">
        <w:ind w:left="340" w:hanging="140"/>
        <w:spacing w:after="0"/>
        <w:tabs>
          <w:tab w:leader="none" w:pos="340" w:val="left"/>
        </w:tabs>
        <w:numPr>
          <w:ilvl w:val="0"/>
          <w:numId w:val="3"/>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Die Basiswährung des Fonds ist USD.</w:t>
      </w:r>
    </w:p>
    <w:p>
      <w:pPr>
        <w:spacing w:after="0" w:line="16" w:lineRule="exact"/>
        <w:rPr>
          <w:sz w:val="24"/>
          <w:szCs w:val="24"/>
          <w:color w:val="auto"/>
        </w:rPr>
      </w:pPr>
    </w:p>
    <w:p>
      <w:pPr xmlns:w="http://schemas.openxmlformats.org/wordprocessingml/2006/main">
        <w:jc w:val="both"/>
        <w:ind w:left="340" w:hanging="140"/>
        <w:spacing w:after="0" w:line="226" w:lineRule="auto"/>
        <w:tabs>
          <w:tab w:leader="none" w:pos="340" w:val="left"/>
        </w:tabs>
        <w:numPr>
          <w:ilvl w:val="0"/>
          <w:numId w:val="4"/>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Der Fonds investiert in Wertpapiere, die auf andere Währungen als die Notierungswährung lauten.</w:t>
      </w:r>
      <w:r>
        <w:rPr xmlns:w="http://schemas.openxmlformats.org/wordprocessingml/2006/main">
          <w:rFonts w:ascii="Arial" w:cs="Arial" w:eastAsia="Arial" w:hAnsi="Arial"/>
          <w:sz w:val="16"/>
          <w:szCs w:val="16"/>
          <w:color w:val="231F20"/>
        </w:rPr>
        <w:t xml:space="preserve"> Wechselkursschwankungen können die Rendite von Investitionen beeinflussen.</w:t>
      </w:r>
    </w:p>
    <w:p>
      <w:pPr>
        <w:spacing w:after="0" w:line="2" w:lineRule="exact"/>
        <w:rPr>
          <w:sz w:val="24"/>
          <w:szCs w:val="24"/>
          <w:color w:val="auto"/>
        </w:rPr>
      </w:pPr>
    </w:p>
    <w:p>
      <w:pPr xmlns:w="http://schemas.openxmlformats.org/wordprocessingml/2006/main">
        <w:jc w:val="both"/>
        <w:ind w:left="340" w:hanging="140"/>
        <w:spacing w:after="0" w:line="226" w:lineRule="auto"/>
        <w:tabs>
          <w:tab w:leader="none" w:pos="340" w:val="left"/>
        </w:tabs>
        <w:numPr>
          <w:ilvl w:val="0"/>
          <w:numId w:val="5"/>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Der Fonds kann kurzfristige besicherte Darlehen für seine Anlagen an bestimmte berechtigte Dritte vergeben.</w:t>
      </w:r>
      <w:r>
        <w:rPr xmlns:w="http://schemas.openxmlformats.org/wordprocessingml/2006/main">
          <w:rFonts w:ascii="Arial" w:cs="Arial" w:eastAsia="Arial" w:hAnsi="Arial"/>
          <w:sz w:val="16"/>
          <w:szCs w:val="16"/>
          <w:color w:val="231F20"/>
        </w:rPr>
        <w:t xml:space="preserve"> Dies dient als Mittel zur Erzielung zusätzlicher Einnahmen und zum Ausgleich der Kosten des Fonds.</w:t>
      </w:r>
    </w:p>
    <w:p>
      <w:pPr xmlns:w="http://schemas.openxmlformats.org/wordprocessingml/2006/main">
        <w:ind w:left="340" w:hanging="140"/>
        <w:spacing w:after="0"/>
        <w:tabs>
          <w:tab w:leader="none" w:pos="340" w:val="left"/>
        </w:tabs>
        <w:numPr>
          <w:ilvl w:val="0"/>
          <w:numId w:val="6"/>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Der Fonds ist möglicherweise nicht für kurzfristige Investitionen geeignet.</w:t>
      </w:r>
    </w:p>
    <w:p>
      <w:pPr>
        <w:spacing w:after="0" w:line="16" w:lineRule="exact"/>
        <w:rPr>
          <w:sz w:val="24"/>
          <w:szCs w:val="24"/>
          <w:color w:val="auto"/>
        </w:rPr>
      </w:pPr>
    </w:p>
    <w:p>
      <w:pPr xmlns:w="http://schemas.openxmlformats.org/wordprocessingml/2006/main">
        <w:ind w:left="340" w:hanging="140"/>
        <w:spacing w:after="0"/>
        <w:tabs>
          <w:tab w:leader="none" w:pos="340" w:val="left"/>
        </w:tabs>
        <w:numPr>
          <w:ilvl w:val="0"/>
          <w:numId w:val="7"/>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Die Erträge aus den ETF-Aktien werden in der Regel vierteljährlich ausgezahlt.</w:t>
      </w:r>
    </w:p>
    <w:p>
      <w:pPr>
        <w:spacing w:after="0" w:line="16" w:lineRule="exact"/>
        <w:rPr>
          <w:sz w:val="24"/>
          <w:szCs w:val="24"/>
          <w:color w:val="auto"/>
        </w:rPr>
      </w:pPr>
    </w:p>
    <w:p>
      <w:pPr xmlns:w="http://schemas.openxmlformats.org/wordprocessingml/2006/main">
        <w:jc w:val="both"/>
        <w:ind w:left="340" w:hanging="139"/>
        <w:spacing w:after="0" w:line="219" w:lineRule="auto"/>
        <w:rPr>
          <w:sz w:val="20"/>
          <w:szCs w:val="20"/>
          <w:color w:val="auto"/>
        </w:rPr>
      </w:pPr>
      <w:r>
        <w:rPr xmlns:w="http://schemas.openxmlformats.org/wordprocessingml/2006/main">
          <w:rFonts w:ascii="Arial" w:cs="Arial" w:eastAsia="Arial" w:hAnsi="Arial"/>
          <w:sz w:val="16"/>
          <w:szCs w:val="16"/>
          <w:color w:val="231F20"/>
        </w:rPr>
        <w:t xml:space="preserve">2 ETF-Aktien sind an einer oder mehreren Börsen notiert.</w:t>
      </w:r>
      <w:r>
        <w:rPr xmlns:w="http://schemas.openxmlformats.org/wordprocessingml/2006/main">
          <w:rFonts w:ascii="Arial" w:cs="Arial" w:eastAsia="Arial" w:hAnsi="Arial"/>
          <w:sz w:val="16"/>
          <w:szCs w:val="16"/>
          <w:color w:val="231F20"/>
        </w:rPr>
        <w:t xml:space="preserve"> Vorbehaltlich bestimmter im Prospekt festgelegter Ausnahmen dürfen Anleger, die keine zugelassenen Teilnehmer sind, ETF-Aktien nur über ein Unternehmen verkaufen, das Mitglied einer relevanten Börse ist, und zwar zu jedem Zeitpunkt, zu dem diese Börse für Geschäfte geöffnet ist.</w:t>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118" w:lineRule="exact"/>
        <w:rPr>
          <w:sz w:val="24"/>
          <w:szCs w:val="24"/>
          <w:color w:val="auto"/>
        </w:rPr>
      </w:pPr>
    </w:p>
    <w:p>
      <w:pPr xmlns:w="http://schemas.openxmlformats.org/wordprocessingml/2006/main">
        <w:ind w:left="140" w:hanging="140"/>
        <w:spacing w:after="0"/>
        <w:tabs>
          <w:tab w:leader="none" w:pos="140" w:val="left"/>
        </w:tabs>
        <w:numPr>
          <w:ilvl w:val="0"/>
          <w:numId w:val="8"/>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Portfoliotransaktionskosten werden sich auf die Performance auswirken.</w:t>
      </w:r>
    </w:p>
    <w:p>
      <w:pPr>
        <w:spacing w:after="0" w:line="30" w:lineRule="exact"/>
        <w:rPr>
          <w:sz w:val="24"/>
          <w:szCs w:val="24"/>
          <w:color w:val="auto"/>
        </w:rPr>
      </w:pPr>
    </w:p>
    <w:p>
      <w:pPr xmlns:w="http://schemas.openxmlformats.org/wordprocessingml/2006/main">
        <w:ind w:left="140" w:right="340" w:hanging="140"/>
        <w:spacing w:after="0" w:line="250" w:lineRule="auto"/>
        <w:tabs>
          <w:tab w:leader="none" w:pos="140" w:val="left"/>
        </w:tabs>
        <w:numPr>
          <w:ilvl w:val="0"/>
          <w:numId w:val="9"/>
        </w:numPr>
        <w:rPr>
          <w:rFonts w:ascii="Arial" w:cs="Arial" w:eastAsia="Arial" w:hAnsi="Arial"/>
          <w:sz w:val="14"/>
          <w:szCs w:val="14"/>
          <w:color w:val="231F20"/>
        </w:rPr>
      </w:pPr>
      <w:r>
        <w:rPr xmlns:w="http://schemas.openxmlformats.org/wordprocessingml/2006/main">
          <w:rFonts w:ascii="Arial" w:cs="Arial" w:eastAsia="Arial" w:hAnsi="Arial"/>
          <w:sz w:val="14"/>
          <w:szCs w:val="14"/>
          <w:color w:val="231F20"/>
        </w:rPr>
        <w:t xml:space="preserve">Die Fondsanteile können täglich (außer an bestimmten Feiertagen oder Feiertagen und unter bestimmten, in der Beilage beschriebenen Einschränkungen) durch schriftliche oder telefonische Antragstellung gekauft oder verkauft werden.</w:t>
      </w:r>
      <w:r>
        <w:rPr xmlns:w="http://schemas.openxmlformats.org/wordprocessingml/2006/main">
          <w:rFonts w:ascii="Arial" w:cs="Arial" w:eastAsia="Arial" w:hAnsi="Arial"/>
          <w:sz w:val="14"/>
          <w:szCs w:val="14"/>
          <w:color w:val="231F20"/>
        </w:rPr>
        <w:t xml:space="preserve"> Eine Liste der Tage, an denen Anteile des Fonds nicht gekauft oder verkauft werden können, ist unter https://global.vanguard.com/portal/site/loadPDF?country=global&amp;docId=11628 verfügbar</w:t>
      </w:r>
    </w:p>
    <w:p>
      <w:pPr>
        <w:spacing w:after="0" w:line="161" w:lineRule="exact"/>
        <w:rPr>
          <w:sz w:val="24"/>
          <w:szCs w:val="24"/>
          <w:color w:val="auto"/>
        </w:rPr>
      </w:pPr>
    </w:p>
    <w:p>
      <w:pPr xmlns:w="http://schemas.openxmlformats.org/wordprocessingml/2006/main">
        <w:jc w:val="both"/>
        <w:ind w:right="340"/>
        <w:spacing w:after="0"/>
        <w:rPr>
          <w:sz w:val="20"/>
          <w:szCs w:val="20"/>
          <w:color w:val="auto"/>
        </w:rPr>
      </w:pPr>
      <w:r>
        <w:rPr xmlns:w="http://schemas.openxmlformats.org/wordprocessingml/2006/main">
          <w:rFonts w:ascii="Arial" w:cs="Arial" w:eastAsia="Arial" w:hAnsi="Arial"/>
          <w:sz w:val="15"/>
          <w:szCs w:val="15"/>
          <w:b w:val="1"/>
          <w:bCs w:val="1"/>
          <w:color w:val="231F20"/>
        </w:rPr>
        <w:t xml:space="preserve">Weitere Informationen über die Ziele und Anlagepolitik des Fonds sowie die eingeschränkte Beziehung zum Indexanbieter finden Sie in Anhang 1 und Anhang 6 des Prospekts von Vanguard Funds plc (im Folgenden "Prospekt") auf unserer Website unter</w:t>
      </w:r>
      <w:r>
        <w:rPr xmlns:w="http://schemas.openxmlformats.org/wordprocessingml/2006/main">
          <w:rFonts w:ascii="Arial" w:cs="Arial" w:eastAsia="Arial" w:hAnsi="Arial"/>
          <w:sz w:val="15"/>
          <w:szCs w:val="15"/>
          <w:color w:val="231F20"/>
        </w:rPr>
        <w:t xml:space="preserve"> https://global.vanguard.com</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-3454400</wp:posOffset>
                </wp:positionH>
                <wp:positionV relativeFrom="paragraph">
                  <wp:posOffset>2172970</wp:posOffset>
                </wp:positionV>
                <wp:extent cx="6845300" cy="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2" o:spid="_x0000_s102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72pt,171.1pt" to="267pt,171.1pt" o:allowincell="f" strokecolor="#231F20" strokeweight="0.4pt"/>
            </w:pict>
          </mc:Fallback>
        </mc:AlternateContent>
      </w:r>
    </w:p>
    <w:p>
      <w:pPr>
        <w:spacing w:after="0" w:line="3351" w:lineRule="exact"/>
        <w:rPr>
          <w:sz w:val="24"/>
          <w:szCs w:val="24"/>
          <w:color w:val="auto"/>
        </w:rPr>
      </w:pPr>
    </w:p>
    <w:p>
      <w:pPr>
        <w:sectPr>
          <w:pgSz w:w="11900" w:h="16910" w:orient="portrait"/>
          <w:cols w:equalWidth="0" w:num="2">
            <w:col w:w="5400" w:space="240"/>
            <w:col w:w="5540"/>
          </w:cols>
          <w:pgMar w:left="360" w:top="969" w:right="360" w:bottom="0" w:gutter="0" w:footer="0" w:header="0"/>
          <w:type w:val="continuous"/>
        </w:sectPr>
      </w:pPr>
    </w:p>
    <w:p>
      <w:pPr>
        <w:spacing w:after="0" w:line="148" w:lineRule="exact"/>
        <w:rPr>
          <w:sz w:val="24"/>
          <w:szCs w:val="24"/>
          <w:color w:val="auto"/>
        </w:rPr>
      </w:pPr>
    </w:p>
    <w:p>
      <w:pPr xmlns:w="http://schemas.openxmlformats.org/wordprocessingml/2006/main">
        <w:ind w:left="200"/>
        <w:spacing w:after="0"/>
        <w:rPr>
          <w:sz w:val="20"/>
          <w:szCs w:val="20"/>
          <w:color w:val="auto"/>
        </w:rPr>
      </w:pPr>
      <w:r>
        <w:rPr xmlns:w="http://schemas.openxmlformats.org/wordprocessingml/2006/main">
          <w:rFonts w:ascii="Arial" w:cs="Arial" w:eastAsia="Arial" w:hAnsi="Arial"/>
          <w:sz w:val="24"/>
          <w:szCs w:val="24"/>
          <w:color w:val="231F20"/>
        </w:rPr>
        <w:t xml:space="preserve">Risiko- und Ertragsprofil</w:t>
      </w:r>
    </w:p>
    <w:p>
      <w:pPr>
        <w:spacing w:after="0" w:line="136" w:lineRule="exact"/>
        <w:rPr>
          <w:sz w:val="24"/>
          <w:szCs w:val="24"/>
          <w:color w:val="auto"/>
        </w:rPr>
      </w:pPr>
    </w:p>
    <w:tbl>
      <w:tblPr>
        <w:tblLayout w:type="fixed"/>
        <w:tblInd w:w="400" w:type="dxa"/>
        <w:tblCellMar>
          <w:top w:w="0" w:type="dxa"/>
          <w:left w:w="0" w:type="dxa"/>
          <w:bottom w:w="0" w:type="dxa"/>
          <w:right w:w="0" w:type="dxa"/>
        </w:tblCellMar>
      </w:tblPr>
      <w:tr>
        <w:trPr>
          <w:trHeight w:val="226"/>
        </w:trPr>
        <w:tc>
          <w:tcPr>
            <w:tcW w:w="76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231F20"/>
              </w:rPr>
              <w:t xml:space="preserve">Geringeres Risiko</w:t>
            </w:r>
          </w:p>
        </w:tc>
        <w:tc>
          <w:tcPr>
            <w:tcW w:w="78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1080" w:type="dxa"/>
            <w:vAlign w:val="bottom"/>
            <w:gridSpan w:val="2"/>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4"/>
                <w:szCs w:val="14"/>
                <w:color w:val="231F20"/>
              </w:rPr>
              <w:t xml:space="preserve">Höheres Risiko</w:t>
            </w:r>
          </w:p>
        </w:tc>
        <w:tc>
          <w:tcPr>
            <w:tcW w:w="5380" w:type="dxa"/>
            <w:vAlign w:val="bottom"/>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des Prospekts auf unserer Website unter</w:t>
            </w:r>
            <w:r>
              <w:rPr xmlns:w="http://schemas.openxmlformats.org/wordprocessingml/2006/main">
                <w:rFonts w:ascii="Arial" w:cs="Arial" w:eastAsia="Arial" w:hAnsi="Arial"/>
                <w:sz w:val="16"/>
                <w:szCs w:val="16"/>
                <w:color w:val="231F20"/>
              </w:rPr>
              <w:t xml:space="preserve"> https://global.vanguard.com</w:t>
            </w:r>
          </w:p>
        </w:tc>
      </w:tr>
      <w:tr>
        <w:trPr>
          <w:trHeight w:val="252"/>
        </w:trPr>
        <w:tc>
          <w:tcPr>
            <w:tcW w:w="1540" w:type="dxa"/>
            <w:vAlign w:val="bottom"/>
            <w:gridSpan w:val="2"/>
          </w:tcPr>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231F20"/>
              </w:rPr>
              <w:t xml:space="preserve">Üblicherweise geringere Belohnungen</w:t>
            </w:r>
          </w:p>
        </w:tc>
        <w:tc>
          <w:tcPr>
            <w:tcW w:w="520" w:type="dxa"/>
            <w:vAlign w:val="bottom"/>
          </w:tcPr>
          <w:p>
            <w:pPr>
              <w:spacing w:after="0"/>
              <w:rPr>
                <w:sz w:val="21"/>
                <w:szCs w:val="21"/>
                <w:color w:val="auto"/>
              </w:rPr>
            </w:pPr>
          </w:p>
        </w:tc>
        <w:tc>
          <w:tcPr>
            <w:tcW w:w="740" w:type="dxa"/>
            <w:vAlign w:val="bottom"/>
          </w:tcPr>
          <w:p>
            <w:pPr>
              <w:spacing w:after="0"/>
              <w:rPr>
                <w:sz w:val="21"/>
                <w:szCs w:val="21"/>
                <w:color w:val="auto"/>
              </w:rPr>
            </w:pPr>
          </w:p>
        </w:tc>
        <w:tc>
          <w:tcPr>
            <w:tcW w:w="1800" w:type="dxa"/>
            <w:vAlign w:val="bottom"/>
            <w:gridSpan w:val="3"/>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4"/>
                <w:szCs w:val="14"/>
                <w:color w:val="231F20"/>
              </w:rPr>
              <w:t xml:space="preserve">Üblicherweise höhere Belohnungen</w:t>
            </w:r>
          </w:p>
        </w:tc>
        <w:tc>
          <w:tcPr>
            <w:tcW w:w="5380" w:type="dxa"/>
            <w:vAlign w:val="bottom"/>
          </w:tcPr>
          <w:p>
            <w:pPr>
              <w:spacing w:after="0"/>
              <w:rPr>
                <w:sz w:val="21"/>
                <w:szCs w:val="21"/>
                <w:color w:val="auto"/>
              </w:rPr>
            </w:pPr>
          </w:p>
        </w:tc>
      </w:tr>
      <w:tr>
        <w:trPr>
          <w:trHeight w:val="116"/>
        </w:trPr>
        <w:tc>
          <w:tcPr>
            <w:tcW w:w="76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340" w:type="dxa"/>
            <w:vAlign w:val="bottom"/>
          </w:tcPr>
          <w:p>
            <w:pPr>
              <w:spacing w:after="0"/>
              <w:rPr>
                <w:sz w:val="10"/>
                <w:szCs w:val="10"/>
                <w:color w:val="auto"/>
              </w:rPr>
            </w:pPr>
          </w:p>
        </w:tc>
        <w:tc>
          <w:tcPr>
            <w:tcW w:w="5380" w:type="dxa"/>
            <w:vAlign w:val="bottom"/>
          </w:tcPr>
          <w:p>
            <w:pPr>
              <w:spacing w:after="0"/>
              <w:rPr>
                <w:sz w:val="10"/>
                <w:szCs w:val="10"/>
                <w:color w:val="auto"/>
              </w:rPr>
            </w:pPr>
          </w:p>
        </w:tc>
      </w:tr>
      <w:tr>
        <w:trPr>
          <w:trHeight w:val="390"/>
        </w:trPr>
        <w:tc>
          <w:tcPr>
            <w:tcW w:w="760" w:type="dxa"/>
            <w:vAlign w:val="bottom"/>
          </w:tcPr>
          <w:p>
            <w:pPr xmlns:w="http://schemas.openxmlformats.org/wordprocessingml/2006/main">
              <w:jc w:val="right"/>
              <w:ind w:right="393"/>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1</w:t>
            </w:r>
          </w:p>
        </w:tc>
        <w:tc>
          <w:tcPr>
            <w:tcW w:w="780" w:type="dxa"/>
            <w:vAlign w:val="bottom"/>
          </w:tcPr>
          <w:p>
            <w:pPr xmlns:w="http://schemas.openxmlformats.org/wordprocessingml/2006/main">
              <w:jc w:val="right"/>
              <w:ind w:right="400"/>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2</w:t>
            </w:r>
          </w:p>
        </w:tc>
        <w:tc>
          <w:tcPr>
            <w:tcW w:w="520" w:type="dxa"/>
            <w:vAlign w:val="bottom"/>
          </w:tcPr>
          <w:p>
            <w:pPr xmlns:w="http://schemas.openxmlformats.org/wordprocessingml/2006/main">
              <w:jc w:val="right"/>
              <w:ind w:right="180"/>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3</w:t>
            </w:r>
          </w:p>
        </w:tc>
        <w:tc>
          <w:tcPr>
            <w:tcW w:w="740" w:type="dxa"/>
            <w:vAlign w:val="bottom"/>
          </w:tcPr>
          <w:p>
            <w:pPr xmlns:w="http://schemas.openxmlformats.org/wordprocessingml/2006/main">
              <w:jc w:val="right"/>
              <w:ind w:right="180"/>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4</w:t>
            </w:r>
          </w:p>
        </w:tc>
        <w:tc>
          <w:tcPr>
            <w:tcW w:w="720" w:type="dxa"/>
            <w:vAlign w:val="bottom"/>
          </w:tcPr>
          <w:p>
            <w:pPr xmlns:w="http://schemas.openxmlformats.org/wordprocessingml/2006/main">
              <w:jc w:val="right"/>
              <w:ind w:right="185"/>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5</w:t>
            </w:r>
          </w:p>
        </w:tc>
        <w:tc>
          <w:tcPr>
            <w:tcW w:w="740" w:type="dxa"/>
            <w:vAlign w:val="bottom"/>
            <w:shd w:val="clear" w:color="auto" w:fill="231F20"/>
          </w:tcPr>
          <w:p>
            <w:pPr xmlns:w="http://schemas.openxmlformats.org/wordprocessingml/2006/main">
              <w:jc w:val="right"/>
              <w:ind w:right="165"/>
              <w:spacing w:after="0"/>
              <w:rPr>
                <w:sz w:val="20"/>
                <w:szCs w:val="20"/>
                <w:color w:val="auto"/>
              </w:rPr>
            </w:pPr>
            <w:r>
              <w:rPr xmlns:w="http://schemas.openxmlformats.org/wordprocessingml/2006/main">
                <w:rFonts w:ascii="Arial" w:cs="Arial" w:eastAsia="Arial" w:hAnsi="Arial"/>
                <w:sz w:val="24"/>
                <w:szCs w:val="24"/>
                <w:b w:val="1"/>
                <w:bCs w:val="1"/>
                <w:color w:val="FFFFFF"/>
              </w:rPr>
              <w:t xml:space="preserve">6</w:t>
            </w:r>
          </w:p>
        </w:tc>
        <w:tc>
          <w:tcPr>
            <w:tcW w:w="340" w:type="dxa"/>
            <w:vAlign w:val="bottom"/>
          </w:tcPr>
          <w:p>
            <w:pPr>
              <w:spacing w:after="0"/>
              <w:rPr>
                <w:sz w:val="24"/>
                <w:szCs w:val="24"/>
                <w:color w:val="auto"/>
              </w:rPr>
            </w:pPr>
          </w:p>
        </w:tc>
        <w:tc>
          <w:tcPr>
            <w:tcW w:w="5380" w:type="dxa"/>
            <w:vAlign w:val="bottom"/>
          </w:tcPr>
          <w:p>
            <w:pPr xmlns:w="http://schemas.openxmlformats.org/wordprocessingml/2006/main">
              <w:jc w:val="right"/>
              <w:ind w:right="5120"/>
              <w:spacing w:after="0"/>
              <w:rPr>
                <w:sz w:val="20"/>
                <w:szCs w:val="20"/>
                <w:color w:val="auto"/>
              </w:rPr>
            </w:pPr>
            <w:r>
              <w:rPr xmlns:w="http://schemas.openxmlformats.org/wordprocessingml/2006/main">
                <w:rFonts w:ascii="Arial" w:cs="Arial" w:eastAsia="Arial" w:hAnsi="Arial"/>
                <w:sz w:val="24"/>
                <w:szCs w:val="24"/>
                <w:b w:val="1"/>
                <w:bCs w:val="1"/>
                <w:color w:val="auto"/>
                <w:w w:val="89"/>
              </w:rPr>
              <w:t xml:space="preserve">7</w:t>
            </w:r>
          </w:p>
        </w:tc>
      </w:tr>
      <w:tr>
        <w:trPr>
          <w:trHeight w:val="22"/>
        </w:trPr>
        <w:tc>
          <w:tcPr>
            <w:tcW w:w="76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740" w:type="dxa"/>
            <w:vAlign w:val="bottom"/>
            <w:shd w:val="clear" w:color="auto" w:fill="231F2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538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121920</wp:posOffset>
            </wp:positionH>
            <wp:positionV relativeFrom="paragraph">
              <wp:posOffset>-522605</wp:posOffset>
            </wp:positionV>
            <wp:extent cx="3312160" cy="8636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extLst>
                    </a:blip>
                    <a:srcRect/>
                    <a:stretch>
                      <a:fillRect/>
                    </a:stretch>
                  </pic:blipFill>
                  <pic:spPr bwMode="auto">
                    <a:xfrm>
                      <a:off x="0" y="0"/>
                      <a:ext cx="3312160" cy="86360"/>
                    </a:xfrm>
                    <a:prstGeom prst="rect">
                      <a:avLst/>
                    </a:prstGeom>
                    <a:noFill/>
                  </pic:spPr>
                </pic:pic>
              </a:graphicData>
            </a:graphic>
          </wp:anchor>
        </w:drawing>
        <w:drawing>
          <wp:anchor simplePos="0" relativeHeight="251657728" behindDoc="1" locked="0" layoutInCell="0" allowOverlap="1">
            <wp:simplePos x="0" y="0"/>
            <wp:positionH relativeFrom="column">
              <wp:posOffset>121920</wp:posOffset>
            </wp:positionH>
            <wp:positionV relativeFrom="paragraph">
              <wp:posOffset>-271145</wp:posOffset>
            </wp:positionV>
            <wp:extent cx="3317240" cy="28194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extLst>
                    </a:blip>
                    <a:srcRect/>
                    <a:stretch>
                      <a:fillRect/>
                    </a:stretch>
                  </pic:blipFill>
                  <pic:spPr bwMode="auto">
                    <a:xfrm>
                      <a:off x="0" y="0"/>
                      <a:ext cx="3317240" cy="281940"/>
                    </a:xfrm>
                    <a:prstGeom prst="rect">
                      <a:avLst/>
                    </a:prstGeom>
                    <a:noFill/>
                  </pic:spPr>
                </pic:pic>
              </a:graphicData>
            </a:graphic>
          </wp:anchor>
        </w:drawing>
      </w:r>
    </w:p>
    <w:p>
      <w:pPr>
        <w:spacing w:after="0" w:line="84" w:lineRule="exact"/>
        <w:rPr>
          <w:sz w:val="24"/>
          <w:szCs w:val="24"/>
          <w:color w:val="auto"/>
        </w:rPr>
      </w:pPr>
    </w:p>
    <w:p>
      <w:pPr xmlns:w="http://schemas.openxmlformats.org/wordprocessingml/2006/main">
        <w:ind w:left="200"/>
        <w:spacing w:after="0"/>
        <w:rPr>
          <w:sz w:val="20"/>
          <w:szCs w:val="20"/>
          <w:color w:val="auto"/>
        </w:rPr>
      </w:pPr>
      <w:r>
        <w:rPr xmlns:w="http://schemas.openxmlformats.org/wordprocessingml/2006/main">
          <w:rFonts w:ascii="Arial" w:cs="Arial" w:eastAsia="Arial" w:hAnsi="Arial"/>
          <w:sz w:val="16"/>
          <w:szCs w:val="16"/>
          <w:color w:val="231F20"/>
        </w:rPr>
        <w:t xml:space="preserve">2 Dieser Indikator basiert auf historischen Daten und ist möglicherweise kein verlässlicher Indikator</w:t>
      </w:r>
    </w:p>
    <w:p>
      <w:pPr>
        <w:spacing w:after="0" w:line="9" w:lineRule="exact"/>
        <w:rPr>
          <w:sz w:val="24"/>
          <w:szCs w:val="24"/>
          <w:color w:val="auto"/>
        </w:rPr>
      </w:pPr>
    </w:p>
    <w:p>
      <w:pPr xmlns:w="http://schemas.openxmlformats.org/wordprocessingml/2006/main">
        <w:ind w:left="340"/>
        <w:spacing w:after="0"/>
        <w:rPr>
          <w:sz w:val="20"/>
          <w:szCs w:val="20"/>
          <w:color w:val="auto"/>
        </w:rPr>
      </w:pPr>
      <w:r>
        <w:rPr xmlns:w="http://schemas.openxmlformats.org/wordprocessingml/2006/main">
          <w:rFonts w:ascii="Arial" w:cs="Arial" w:eastAsia="Arial" w:hAnsi="Arial"/>
          <w:sz w:val="16"/>
          <w:szCs w:val="16"/>
          <w:color w:val="231F20"/>
        </w:rPr>
        <w:t xml:space="preserve">Angabe des künftigen Risikoprofils des Fonds.</w:t>
      </w:r>
    </w:p>
    <w:p>
      <w:pPr xmlns:w="http://schemas.openxmlformats.org/wordprocessingml/2006/main">
        <w:ind w:left="340" w:hanging="140"/>
        <w:spacing w:after="0"/>
        <w:tabs>
          <w:tab w:leader="none" w:pos="340" w:val="left"/>
        </w:tabs>
        <w:numPr>
          <w:ilvl w:val="0"/>
          <w:numId w:val="10"/>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Die dargestellte Risikokategorie ist nicht garantiert und kann sich im Laufe der Zeit ändern.</w:t>
      </w:r>
    </w:p>
    <w:p>
      <w:pPr>
        <w:spacing w:after="0" w:line="16" w:lineRule="exact"/>
        <w:rPr>
          <w:rFonts w:ascii="Arial" w:cs="Arial" w:eastAsia="Arial" w:hAnsi="Arial"/>
          <w:sz w:val="16"/>
          <w:szCs w:val="16"/>
          <w:color w:val="231F20"/>
        </w:rPr>
      </w:pPr>
    </w:p>
    <w:p>
      <w:pPr xmlns:w="http://schemas.openxmlformats.org/wordprocessingml/2006/main">
        <w:ind w:left="340" w:hanging="140"/>
        <w:spacing w:after="0"/>
        <w:tabs>
          <w:tab w:leader="none" w:pos="340" w:val="left"/>
        </w:tabs>
        <w:numPr>
          <w:ilvl w:val="0"/>
          <w:numId w:val="11"/>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Die unterste Kategorie bedeutet nicht "risikofrei".</w:t>
      </w:r>
    </w:p>
    <w:p>
      <w:pPr>
        <w:spacing w:after="0" w:line="16" w:lineRule="exact"/>
        <w:rPr>
          <w:sz w:val="24"/>
          <w:szCs w:val="24"/>
          <w:color w:val="auto"/>
        </w:rPr>
      </w:pPr>
    </w:p>
    <w:p>
      <w:pPr xmlns:w="http://schemas.openxmlformats.org/wordprocessingml/2006/main">
        <w:ind w:left="200"/>
        <w:spacing w:after="0"/>
        <w:rPr>
          <w:sz w:val="20"/>
          <w:szCs w:val="20"/>
          <w:color w:val="auto"/>
        </w:rPr>
      </w:pPr>
      <w:r>
        <w:rPr xmlns:w="http://schemas.openxmlformats.org/wordprocessingml/2006/main">
          <w:rFonts w:ascii="Arial" w:cs="Arial" w:eastAsia="Arial" w:hAnsi="Arial"/>
          <w:sz w:val="16"/>
          <w:szCs w:val="16"/>
          <w:color w:val="231F20"/>
        </w:rPr>
        <w:t xml:space="preserve">2 Der Fonds ist aufgrund der Art seiner Anlagen mit 6 bewertet, darunter</w:t>
      </w:r>
    </w:p>
    <w:p>
      <w:pPr xmlns:w="http://schemas.openxmlformats.org/wordprocessingml/2006/main">
        <w:ind w:left="340"/>
        <w:spacing w:after="0" w:line="218" w:lineRule="auto"/>
        <w:rPr>
          <w:sz w:val="20"/>
          <w:szCs w:val="20"/>
          <w:color w:val="auto"/>
        </w:rPr>
      </w:pPr>
      <w:r>
        <w:rPr xmlns:w="http://schemas.openxmlformats.org/wordprocessingml/2006/main">
          <w:rFonts w:ascii="Arial" w:cs="Arial" w:eastAsia="Arial" w:hAnsi="Arial"/>
          <w:sz w:val="16"/>
          <w:szCs w:val="16"/>
          <w:color w:val="231F20"/>
        </w:rPr>
        <w:t xml:space="preserve">Die unten aufgeführten Risiken.</w:t>
      </w:r>
      <w:r>
        <w:rPr xmlns:w="http://schemas.openxmlformats.org/wordprocessingml/2006/main">
          <w:rFonts w:ascii="Arial" w:cs="Arial" w:eastAsia="Arial" w:hAnsi="Arial"/>
          <w:sz w:val="16"/>
          <w:szCs w:val="16"/>
          <w:color w:val="231F20"/>
        </w:rPr>
        <w:t xml:space="preserve"> Diese Faktoren können sich auf den Wert der</w:t>
      </w:r>
    </w:p>
    <w:p>
      <w:pPr xmlns:w="http://schemas.openxmlformats.org/wordprocessingml/2006/main">
        <w:ind w:left="340"/>
        <w:spacing w:after="0" w:line="217" w:lineRule="auto"/>
        <w:rPr>
          <w:sz w:val="20"/>
          <w:szCs w:val="20"/>
          <w:color w:val="auto"/>
        </w:rPr>
      </w:pPr>
      <w:r>
        <w:rPr xmlns:w="http://schemas.openxmlformats.org/wordprocessingml/2006/main">
          <w:rFonts w:ascii="Arial" w:cs="Arial" w:eastAsia="Arial" w:hAnsi="Arial"/>
          <w:sz w:val="16"/>
          <w:szCs w:val="16"/>
          <w:color w:val="231F20"/>
        </w:rPr>
        <w:t xml:space="preserve">Investitionen oder Verlustrisiken für den Fonds.</w:t>
      </w:r>
    </w:p>
    <w:p>
      <w:pPr>
        <w:spacing w:after="0" w:line="1" w:lineRule="exact"/>
        <w:rPr>
          <w:sz w:val="24"/>
          <w:szCs w:val="24"/>
          <w:color w:val="auto"/>
        </w:rPr>
      </w:pPr>
    </w:p>
    <w:p>
      <w:pPr xmlns:w="http://schemas.openxmlformats.org/wordprocessingml/2006/main">
        <w:jc w:val="both"/>
        <w:ind w:left="340" w:right="5780"/>
        <w:spacing w:after="0" w:line="241" w:lineRule="auto"/>
        <w:tabs>
          <w:tab w:leader="none" w:pos="443" w:val="left"/>
        </w:tabs>
        <w:numPr>
          <w:ilvl w:val="0"/>
          <w:numId w:val="12"/>
        </w:numPr>
        <w:rPr>
          <w:rFonts w:ascii="Arial" w:cs="Arial" w:eastAsia="Arial" w:hAnsi="Arial"/>
          <w:sz w:val="15"/>
          <w:szCs w:val="15"/>
          <w:color w:val="231F20"/>
        </w:rPr>
      </w:pPr>
      <w:r>
        <w:rPr xmlns:w="http://schemas.openxmlformats.org/wordprocessingml/2006/main">
          <w:rFonts w:ascii="Arial" w:cs="Arial" w:eastAsia="Arial" w:hAnsi="Arial"/>
          <w:sz w:val="15"/>
          <w:szCs w:val="15"/>
          <w:color w:val="231F20"/>
        </w:rPr>
        <w:t xml:space="preserve">Der Wert von Aktien und aktienbezogenen Wertpapieren kann durch tägliche Börsenbewegungen beeinflusst werden.</w:t>
      </w:r>
      <w:r>
        <w:rPr xmlns:w="http://schemas.openxmlformats.org/wordprocessingml/2006/main">
          <w:rFonts w:ascii="Arial" w:cs="Arial" w:eastAsia="Arial" w:hAnsi="Arial"/>
          <w:sz w:val="15"/>
          <w:szCs w:val="15"/>
          <w:color w:val="231F20"/>
        </w:rPr>
        <w:t xml:space="preserve"> Weitere einflussreiche Faktoren sind politische, wirtschaftliche Nachrichten, Unternehmenserträge und bedeutende Unternehmensereignisse.</w:t>
      </w:r>
    </w:p>
    <w:p>
      <w:pPr xmlns:w="http://schemas.openxmlformats.org/wordprocessingml/2006/main">
        <w:jc w:val="both"/>
        <w:ind w:left="340" w:right="5780"/>
        <w:spacing w:after="0" w:line="226" w:lineRule="auto"/>
        <w:tabs>
          <w:tab w:leader="none" w:pos="425" w:val="left"/>
        </w:tabs>
        <w:numPr>
          <w:ilvl w:val="0"/>
          <w:numId w:val="1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Das Anlagerisiko konzentriert sich auf bestimmte Sektoren, Länder, Währungen oder Unternehmen.</w:t>
      </w:r>
      <w:r>
        <w:rPr xmlns:w="http://schemas.openxmlformats.org/wordprocessingml/2006/main">
          <w:rFonts w:ascii="Arial" w:cs="Arial" w:eastAsia="Arial" w:hAnsi="Arial"/>
          <w:sz w:val="16"/>
          <w:szCs w:val="16"/>
          <w:color w:val="231F20"/>
        </w:rPr>
        <w:t xml:space="preserve"> Dies bedeutet, dass der Fonds sensibler auf lokale wirtschaftliche, marktbezogene, politische oder regulatorische Ereignisse reagiert.</w:t>
      </w:r>
    </w:p>
    <w:p>
      <w:pPr xmlns:w="http://schemas.openxmlformats.org/wordprocessingml/2006/main">
        <w:jc w:val="both"/>
        <w:ind w:left="340" w:right="5780"/>
        <w:spacing w:after="0" w:line="226" w:lineRule="auto"/>
        <w:tabs>
          <w:tab w:leader="none" w:pos="460" w:val="left"/>
        </w:tabs>
        <w:numPr>
          <w:ilvl w:val="0"/>
          <w:numId w:val="1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Verwendung von Derivaten.</w:t>
      </w:r>
      <w:r>
        <w:rPr xmlns:w="http://schemas.openxmlformats.org/wordprocessingml/2006/main">
          <w:rFonts w:ascii="Arial" w:cs="Arial" w:eastAsia="Arial" w:hAnsi="Arial"/>
          <w:sz w:val="16"/>
          <w:szCs w:val="16"/>
          <w:color w:val="231F20"/>
        </w:rPr>
        <w:t xml:space="preserve"> Die Verwendung von Derivaten könnte das Risiko, dem die zugrunde liegenden Vermögenswerte ausgesetzt sind, erhöhen oder verringern und zu größeren Schwankungen des Nettoinventarwerts des Fonds führen.</w:t>
      </w:r>
    </w:p>
    <w:p>
      <w:pPr>
        <w:spacing w:after="0" w:line="4" w:lineRule="exact"/>
        <w:rPr>
          <w:sz w:val="24"/>
          <w:szCs w:val="24"/>
          <w:color w:val="auto"/>
        </w:rPr>
      </w:pPr>
    </w:p>
    <w:p>
      <w:pPr xmlns:w="http://schemas.openxmlformats.org/wordprocessingml/2006/main">
        <w:ind w:left="200"/>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Der Risiko-Rendite-Indikator berücksichtigt nicht</w:t>
      </w:r>
    </w:p>
    <w:p>
      <w:pPr>
        <w:spacing w:after="0" w:line="19" w:lineRule="exact"/>
        <w:rPr>
          <w:sz w:val="24"/>
          <w:szCs w:val="24"/>
          <w:color w:val="auto"/>
        </w:rPr>
      </w:pPr>
    </w:p>
    <w:p>
      <w:pPr xmlns:w="http://schemas.openxmlformats.org/wordprocessingml/2006/main">
        <w:ind w:left="200"/>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Risiken der Anlage in den Fonds:</w:t>
      </w:r>
    </w:p>
    <w:p>
      <w:pPr xmlns:w="http://schemas.openxmlformats.org/wordprocessingml/2006/main">
        <w:ind w:left="200"/>
        <w:spacing w:after="0"/>
        <w:rPr>
          <w:sz w:val="20"/>
          <w:szCs w:val="20"/>
          <w:color w:val="auto"/>
        </w:rPr>
      </w:pPr>
      <w:r>
        <w:rPr xmlns:w="http://schemas.openxmlformats.org/wordprocessingml/2006/main">
          <w:rFonts w:ascii="Arial" w:cs="Arial" w:eastAsia="Arial" w:hAnsi="Arial"/>
          <w:sz w:val="16"/>
          <w:szCs w:val="16"/>
          <w:color w:val="231F20"/>
        </w:rPr>
        <w:t xml:space="preserve">2 Gegenparteirisiko.</w:t>
      </w:r>
      <w:r>
        <w:rPr xmlns:w="http://schemas.openxmlformats.org/wordprocessingml/2006/main">
          <w:rFonts w:ascii="Arial" w:cs="Arial" w:eastAsia="Arial" w:hAnsi="Arial"/>
          <w:sz w:val="16"/>
          <w:szCs w:val="16"/>
          <w:color w:val="231F20"/>
        </w:rPr>
        <w:t xml:space="preserve"> Die Insolvenz von Dienstleistungseinrichtungen</w:t>
      </w:r>
    </w:p>
    <w:p>
      <w:pPr xmlns:w="http://schemas.openxmlformats.org/wordprocessingml/2006/main">
        <w:ind w:left="340"/>
        <w:spacing w:after="0" w:line="208" w:lineRule="auto"/>
        <w:rPr>
          <w:sz w:val="20"/>
          <w:szCs w:val="20"/>
          <w:color w:val="auto"/>
        </w:rPr>
      </w:pPr>
      <w:r>
        <w:rPr xmlns:w="http://schemas.openxmlformats.org/wordprocessingml/2006/main">
          <w:rFonts w:ascii="Arial" w:cs="Arial" w:eastAsia="Arial" w:hAnsi="Arial"/>
          <w:sz w:val="16"/>
          <w:szCs w:val="16"/>
          <w:color w:val="231F20"/>
        </w:rPr>
        <w:t xml:space="preserve">z. B. die Verwahrung von Vermögenswerten oder die Ausübung der Funktion einer Gegenpartei bei Derivaten oder</w:t>
      </w:r>
    </w:p>
    <w:p>
      <w:pPr xmlns:w="http://schemas.openxmlformats.org/wordprocessingml/2006/main">
        <w:ind w:left="340"/>
        <w:spacing w:after="0" w:line="217" w:lineRule="auto"/>
        <w:rPr>
          <w:sz w:val="20"/>
          <w:szCs w:val="20"/>
          <w:color w:val="auto"/>
        </w:rPr>
      </w:pPr>
      <w:r>
        <w:rPr xmlns:w="http://schemas.openxmlformats.org/wordprocessingml/2006/main">
          <w:rFonts w:ascii="Arial" w:cs="Arial" w:eastAsia="Arial" w:hAnsi="Arial"/>
          <w:sz w:val="16"/>
          <w:szCs w:val="16"/>
          <w:color w:val="231F20"/>
        </w:rPr>
        <w:t xml:space="preserve">andere Instrumente, können den Fonds finanziellen Verlusten aussetzen.</w:t>
      </w:r>
    </w:p>
    <w:p>
      <w:pPr>
        <w:spacing w:after="0" w:line="1" w:lineRule="exact"/>
        <w:rPr>
          <w:sz w:val="24"/>
          <w:szCs w:val="24"/>
          <w:color w:val="auto"/>
        </w:rPr>
      </w:pPr>
    </w:p>
    <w:p>
      <w:pPr xmlns:w="http://schemas.openxmlformats.org/wordprocessingml/2006/main">
        <w:jc w:val="both"/>
        <w:ind w:left="340" w:right="5780" w:hanging="140"/>
        <w:spacing w:after="0" w:line="219" w:lineRule="auto"/>
        <w:tabs>
          <w:tab w:leader="none" w:pos="340" w:val="left"/>
        </w:tabs>
        <w:numPr>
          <w:ilvl w:val="0"/>
          <w:numId w:val="13"/>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Liquiditätsrisiko.</w:t>
      </w:r>
      <w:r>
        <w:rPr xmlns:w="http://schemas.openxmlformats.org/wordprocessingml/2006/main">
          <w:rFonts w:ascii="Arial" w:cs="Arial" w:eastAsia="Arial" w:hAnsi="Arial"/>
          <w:sz w:val="16"/>
          <w:szCs w:val="16"/>
          <w:color w:val="231F20"/>
        </w:rPr>
        <w:t xml:space="preserve"> Niedrigere Liquidität bedeutet, dass es nicht genügend Käufer oder Verkäufer gibt, um es dem Fonds zu ermöglichen, Anlagen ohne Weiteres zu verkaufen oder zu kaufen, was dazu führen könnte, dass dem Fonds beim Kauf oder Verkauf von Anlagen höhere Kosten entstehen oder dass der Fonds nicht in der Lage ist, Anlagen zu kaufen oder zu verkaufen, wenn er dies möchte.</w:t>
      </w:r>
    </w:p>
    <w:p>
      <w:pPr>
        <w:spacing w:after="0" w:line="1" w:lineRule="exact"/>
        <w:rPr>
          <w:sz w:val="24"/>
          <w:szCs w:val="24"/>
          <w:color w:val="auto"/>
        </w:rPr>
      </w:pPr>
    </w:p>
    <w:p>
      <w:pPr xmlns:w="http://schemas.openxmlformats.org/wordprocessingml/2006/main">
        <w:jc w:val="both"/>
        <w:ind w:left="340" w:right="5780" w:hanging="140"/>
        <w:spacing w:after="0" w:line="222" w:lineRule="auto"/>
        <w:tabs>
          <w:tab w:leader="none" w:pos="340" w:val="left"/>
        </w:tabs>
        <w:numPr>
          <w:ilvl w:val="0"/>
          <w:numId w:val="14"/>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Index-Tracking-Risiko.</w:t>
      </w:r>
      <w:r>
        <w:rPr xmlns:w="http://schemas.openxmlformats.org/wordprocessingml/2006/main">
          <w:rFonts w:ascii="Arial" w:cs="Arial" w:eastAsia="Arial" w:hAnsi="Arial"/>
          <w:sz w:val="16"/>
          <w:szCs w:val="16"/>
          <w:color w:val="231F20"/>
        </w:rPr>
        <w:t xml:space="preserve"> Es wird nicht erwartet, dass der Fonds die Wertentwicklung des Index jederzeit mit absoluter Genauigkeit verfolgt.</w:t>
      </w:r>
      <w:r>
        <w:rPr xmlns:w="http://schemas.openxmlformats.org/wordprocessingml/2006/main">
          <w:rFonts w:ascii="Arial" w:cs="Arial" w:eastAsia="Arial" w:hAnsi="Arial"/>
          <w:sz w:val="16"/>
          <w:szCs w:val="16"/>
          <w:color w:val="231F20"/>
        </w:rPr>
        <w:t xml:space="preserve"> Der Fonds soll jedoch Anlageergebnisse liefern, die vor Aufwendungen im Allgemeinen der Preis- und Renditeentwicklung des Index entsprechen.</w:t>
      </w:r>
    </w:p>
    <w:p>
      <w:pPr>
        <w:spacing w:after="0" w:line="1" w:lineRule="exact"/>
        <w:rPr>
          <w:sz w:val="24"/>
          <w:szCs w:val="24"/>
          <w:color w:val="auto"/>
        </w:rPr>
      </w:pPr>
    </w:p>
    <w:p>
      <w:pPr xmlns:w="http://schemas.openxmlformats.org/wordprocessingml/2006/main">
        <w:ind w:left="200"/>
        <w:spacing w:after="0"/>
        <w:rPr>
          <w:sz w:val="20"/>
          <w:szCs w:val="20"/>
          <w:color w:val="auto"/>
        </w:rPr>
      </w:pPr>
      <w:r>
        <w:rPr xmlns:w="http://schemas.openxmlformats.org/wordprocessingml/2006/main">
          <w:rFonts w:ascii="Arial" w:cs="Arial" w:eastAsia="Arial" w:hAnsi="Arial"/>
          <w:sz w:val="16"/>
          <w:szCs w:val="16"/>
          <w:color w:val="231F20"/>
        </w:rPr>
        <w:t xml:space="preserve">2 Index-Stichprobenrisiko.</w:t>
      </w:r>
      <w:r>
        <w:rPr xmlns:w="http://schemas.openxmlformats.org/wordprocessingml/2006/main">
          <w:rFonts w:ascii="Arial" w:cs="Arial" w:eastAsia="Arial" w:hAnsi="Arial"/>
          <w:sz w:val="16"/>
          <w:szCs w:val="16"/>
          <w:color w:val="231F20"/>
        </w:rPr>
        <w:t xml:space="preserve"> Da der Fonds eine Indexstichprobenmethode anwendet</w:t>
      </w:r>
    </w:p>
    <w:p>
      <w:pPr xmlns:w="http://schemas.openxmlformats.org/wordprocessingml/2006/main">
        <w:ind w:left="340"/>
        <w:spacing w:after="0" w:line="218" w:lineRule="auto"/>
        <w:rPr>
          <w:sz w:val="20"/>
          <w:szCs w:val="20"/>
          <w:color w:val="auto"/>
        </w:rPr>
      </w:pPr>
      <w:r>
        <w:rPr xmlns:w="http://schemas.openxmlformats.org/wordprocessingml/2006/main">
          <w:rFonts w:ascii="Arial" w:cs="Arial" w:eastAsia="Arial" w:hAnsi="Arial"/>
          <w:sz w:val="16"/>
          <w:szCs w:val="16"/>
          <w:color w:val="231F20"/>
        </w:rPr>
        <w:t xml:space="preserve">wobei eine repräsentative Stichprobe von Wertpapieren ausgewählt wird, um</w:t>
      </w:r>
    </w:p>
    <w:p>
      <w:pPr xmlns:w="http://schemas.openxmlformats.org/wordprocessingml/2006/main">
        <w:ind w:left="340"/>
        <w:spacing w:after="0" w:line="209" w:lineRule="auto"/>
        <w:rPr>
          <w:sz w:val="20"/>
          <w:szCs w:val="20"/>
          <w:color w:val="auto"/>
        </w:rPr>
      </w:pPr>
      <w:r>
        <w:rPr xmlns:w="http://schemas.openxmlformats.org/wordprocessingml/2006/main">
          <w:rFonts w:ascii="Arial" w:cs="Arial" w:eastAsia="Arial" w:hAnsi="Arial"/>
          <w:sz w:val="16"/>
          <w:szCs w:val="16"/>
          <w:color w:val="231F20"/>
        </w:rPr>
        <w:t xml:space="preserve">im Index besteht das Risiko, dass die für den Fonds ausgewählten Wertpapiere</w:t>
      </w:r>
    </w:p>
    <w:p>
      <w:pPr xmlns:w="http://schemas.openxmlformats.org/wordprocessingml/2006/main">
        <w:ind w:left="340"/>
        <w:spacing w:after="0" w:line="220" w:lineRule="auto"/>
        <w:rPr>
          <w:sz w:val="20"/>
          <w:szCs w:val="20"/>
          <w:color w:val="auto"/>
        </w:rPr>
      </w:pPr>
      <w:r>
        <w:rPr xmlns:w="http://schemas.openxmlformats.org/wordprocessingml/2006/main">
          <w:rFonts w:ascii="Arial" w:cs="Arial" w:eastAsia="Arial" w:hAnsi="Arial"/>
          <w:sz w:val="16"/>
          <w:szCs w:val="16"/>
          <w:color w:val="231F20"/>
        </w:rPr>
        <w:t xml:space="preserve">zusammengenommen nicht annähernd den vollständigen Index.</w:t>
      </w:r>
    </w:p>
    <w:p>
      <w:pPr xmlns:w="http://schemas.openxmlformats.org/wordprocessingml/2006/main">
        <w:ind w:left="200"/>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Weitere Informationen zu Risiken finden Sie im Abschnitt "Risikofaktoren"</w:t>
      </w:r>
    </w:p>
    <w:p>
      <w:pPr>
        <w:sectPr>
          <w:pgSz w:w="11900" w:h="16910" w:orient="portrait"/>
          <w:cols w:equalWidth="0" w:num="1">
            <w:col w:w="11180"/>
          </w:cols>
          <w:pgMar w:left="360" w:top="969" w:right="360" w:bottom="0" w:gutter="0" w:footer="0" w:header="0"/>
          <w:type w:val="continuous"/>
        </w:sectPr>
      </w:pPr>
    </w:p>
    <w:bookmarkStart w:id="1" w:name="page2"/>
    <w:bookmarkEnd w:id="1"/>
    <w:p>
      <w:pPr>
        <w:spacing w:after="0" w:line="10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page">
                  <wp:posOffset>355600</wp:posOffset>
                </wp:positionH>
                <wp:positionV relativeFrom="page">
                  <wp:posOffset>254000</wp:posOffset>
                </wp:positionV>
                <wp:extent cx="6845300" cy="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5" o:spid="_x0000_s103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28pt,20pt" to="567pt,20pt" o:allowincell="f" strokecolor="#231F20" strokeweight="0.4pt">
                <w10:wrap anchorx="page" anchory="page"/>
              </v:line>
            </w:pict>
          </mc:Fallback>
        </mc:AlternateContent>
      </w:r>
    </w:p>
    <w:p>
      <w:pPr xmlns:w="http://schemas.openxmlformats.org/wordprocessingml/2006/main">
        <w:ind w:left="19"/>
        <w:spacing w:after="0"/>
        <w:rPr>
          <w:sz w:val="20"/>
          <w:szCs w:val="20"/>
          <w:color w:val="auto"/>
        </w:rPr>
      </w:pPr>
      <w:r>
        <w:rPr xmlns:w="http://schemas.openxmlformats.org/wordprocessingml/2006/main">
          <w:rFonts w:ascii="Arial" w:cs="Arial" w:eastAsia="Arial" w:hAnsi="Arial"/>
          <w:sz w:val="24"/>
          <w:szCs w:val="24"/>
          <w:color w:val="231F20"/>
        </w:rPr>
        <w:t xml:space="preserve">Kosten</w:t>
      </w:r>
    </w:p>
    <w:p>
      <w:pPr>
        <w:spacing w:after="0" w:line="138" w:lineRule="exact"/>
        <w:rPr>
          <w:sz w:val="20"/>
          <w:szCs w:val="20"/>
          <w:color w:val="auto"/>
        </w:rPr>
      </w:pPr>
    </w:p>
    <w:p>
      <w:pPr xmlns:w="http://schemas.openxmlformats.org/wordprocessingml/2006/main">
        <w:ind w:left="19"/>
        <w:spacing w:after="0"/>
        <w:rPr>
          <w:sz w:val="20"/>
          <w:szCs w:val="20"/>
          <w:color w:val="auto"/>
        </w:rPr>
      </w:pPr>
      <w:r>
        <w:rPr xmlns:w="http://schemas.openxmlformats.org/wordprocessingml/2006/main">
          <w:rFonts w:ascii="Arial" w:cs="Arial" w:eastAsia="Arial" w:hAnsi="Arial"/>
          <w:sz w:val="16"/>
          <w:szCs w:val="16"/>
          <w:color w:val="231F20"/>
        </w:rPr>
        <w:t xml:space="preserve">Die von Ihnen gezahlten Gebühren werden zur Deckung der Kosten für den Betrieb des Fonds verwendet, einschließlich der Kosten für Marketing und Vertrieb.</w:t>
      </w:r>
      <w:r>
        <w:rPr xmlns:w="http://schemas.openxmlformats.org/wordprocessingml/2006/main">
          <w:rFonts w:ascii="Arial" w:cs="Arial" w:eastAsia="Arial" w:hAnsi="Arial"/>
          <w:sz w:val="16"/>
          <w:szCs w:val="16"/>
          <w:color w:val="231F20"/>
        </w:rPr>
        <w:t xml:space="preserve"> Diese Gebühren reduzieren das potenzielle Wachstum Ihrer Investition.</w:t>
      </w:r>
    </w:p>
    <w:p>
      <w:pPr>
        <w:sectPr>
          <w:pgSz w:w="11900" w:h="16940" w:orient="portrait"/>
          <w:cols w:equalWidth="0" w:num="1">
            <w:col w:w="10799"/>
          </w:cols>
          <w:pgMar w:left="541" w:top="477" w:right="560" w:bottom="0" w:gutter="0" w:footer="0" w:header="0"/>
        </w:sectPr>
      </w:pPr>
    </w:p>
    <w:p>
      <w:pPr>
        <w:spacing w:after="0" w:line="75" w:lineRule="exact"/>
        <w:rPr>
          <w:sz w:val="20"/>
          <w:szCs w:val="20"/>
          <w:color w:val="auto"/>
        </w:rPr>
      </w:pPr>
    </w:p>
    <w:p>
      <w:pPr xmlns:w="http://schemas.openxmlformats.org/wordprocessingml/2006/main">
        <w:ind w:left="59"/>
        <w:spacing w:after="0"/>
        <w:rPr>
          <w:sz w:val="20"/>
          <w:szCs w:val="20"/>
          <w:color w:val="auto"/>
        </w:rPr>
      </w:pPr>
      <w:r>
        <w:rPr xmlns:w="http://schemas.openxmlformats.org/wordprocessingml/2006/main">
          <w:rFonts w:ascii="Arial" w:cs="Arial" w:eastAsia="Arial" w:hAnsi="Arial"/>
          <w:sz w:val="16"/>
          <w:szCs w:val="16"/>
          <w:color w:val="231F20"/>
        </w:rPr>
        <w:t xml:space="preserve">Einmalige Kosten, die vor oder nach der Investition anfallen</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-128270</wp:posOffset>
                </wp:positionV>
                <wp:extent cx="3302000" cy="0"/>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6" o:spid="_x0000_s1031"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10.0999pt" to="260.9pt,-10.0999pt" o:allowincell="f" strokecolor="#000000" strokeweight="0.4pt"/>
            </w:pict>
          </mc:Fallback>
        </mc:AlternateContent>
        <mc:AlternateContent>
          <mc:Choice Requires="wps">
            <w:drawing>
              <wp:anchor simplePos="0" relativeHeight="251657728" behindDoc="1" locked="0" layoutInCell="0" allowOverlap="1">
                <wp:simplePos x="0" y="0"/>
                <wp:positionH relativeFrom="column">
                  <wp:posOffset>11430</wp:posOffset>
                </wp:positionH>
                <wp:positionV relativeFrom="paragraph">
                  <wp:posOffset>23495</wp:posOffset>
                </wp:positionV>
                <wp:extent cx="3302000" cy="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7" o:spid="_x0000_s103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1.85pt" to="260.9pt,1.85pt" o:allowincell="f" strokecolor="#000000" strokeweight="0.4pt"/>
            </w:pict>
          </mc:Fallback>
        </mc:AlternateContent>
      </w:r>
    </w:p>
    <w:p>
      <w:pPr>
        <w:spacing w:after="0" w:line="33" w:lineRule="exact"/>
        <w:rPr>
          <w:sz w:val="20"/>
          <w:szCs w:val="20"/>
          <w:color w:val="auto"/>
        </w:rPr>
      </w:pPr>
    </w:p>
    <w:tbl>
      <w:tblPr>
        <w:tblLayout w:type="fixed"/>
        <w:tblInd w:w="19" w:type="dxa"/>
        <w:tblCellMar>
          <w:top w:w="0" w:type="dxa"/>
          <w:left w:w="0" w:type="dxa"/>
          <w:bottom w:w="0" w:type="dxa"/>
          <w:right w:w="0" w:type="dxa"/>
        </w:tblCellMar>
      </w:tblPr>
      <w:tr>
        <w:trPr>
          <w:trHeight w:val="225"/>
        </w:trPr>
        <w:tc>
          <w:tcPr>
            <w:tcW w:w="2980" w:type="dxa"/>
            <w:vAlign w:val="bottom"/>
            <w:tcBorders>
              <w:bottom w:val="single" w:sz="8" w:color="auto"/>
            </w:tcBorders>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231F20"/>
              </w:rPr>
              <w:t xml:space="preserve">Eintrittsgebühr*</w:t>
            </w:r>
          </w:p>
        </w:tc>
        <w:tc>
          <w:tcPr>
            <w:tcW w:w="2240" w:type="dxa"/>
            <w:vAlign w:val="bottom"/>
            <w:tcBorders>
              <w:bottom w:val="single" w:sz="8" w:color="auto"/>
            </w:tcBorders>
          </w:tcPr>
          <w:p>
            <w:pPr xmlns:w="http://schemas.openxmlformats.org/wordprocessingml/2006/main">
              <w:ind w:left="1800"/>
              <w:spacing w:after="0"/>
              <w:rPr>
                <w:sz w:val="20"/>
                <w:szCs w:val="20"/>
                <w:color w:val="auto"/>
              </w:rPr>
            </w:pPr>
            <w:r>
              <w:rPr xmlns:w="http://schemas.openxmlformats.org/wordprocessingml/2006/main">
                <w:rFonts w:ascii="Arial" w:cs="Arial" w:eastAsia="Arial" w:hAnsi="Arial"/>
                <w:sz w:val="16"/>
                <w:szCs w:val="16"/>
                <w:color w:val="231F20"/>
              </w:rPr>
              <w:t xml:space="preserve">Keine</w:t>
            </w:r>
          </w:p>
        </w:tc>
      </w:tr>
      <w:tr>
        <w:trPr>
          <w:trHeight w:val="225"/>
        </w:trPr>
        <w:tc>
          <w:tcPr>
            <w:tcW w:w="2980" w:type="dxa"/>
            <w:vAlign w:val="bottom"/>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231F20"/>
              </w:rPr>
              <w:t xml:space="preserve">Ausreisegebühr*</w:t>
            </w:r>
          </w:p>
        </w:tc>
        <w:tc>
          <w:tcPr>
            <w:tcW w:w="2240" w:type="dxa"/>
            <w:vAlign w:val="bottom"/>
          </w:tcPr>
          <w:p>
            <w:pPr xmlns:w="http://schemas.openxmlformats.org/wordprocessingml/2006/main">
              <w:ind w:left="1800"/>
              <w:spacing w:after="0"/>
              <w:rPr>
                <w:sz w:val="20"/>
                <w:szCs w:val="20"/>
                <w:color w:val="auto"/>
              </w:rPr>
            </w:pPr>
            <w:r>
              <w:rPr xmlns:w="http://schemas.openxmlformats.org/wordprocessingml/2006/main">
                <w:rFonts w:ascii="Arial" w:cs="Arial" w:eastAsia="Arial" w:hAnsi="Arial"/>
                <w:sz w:val="16"/>
                <w:szCs w:val="16"/>
                <w:color w:val="231F20"/>
              </w:rPr>
              <w:t xml:space="preserve">Keine</w:t>
            </w:r>
          </w:p>
        </w:tc>
      </w:tr>
    </w:tbl>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13335</wp:posOffset>
                </wp:positionV>
                <wp:extent cx="3302000" cy="0"/>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8" o:spid="_x0000_s103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1.05pt" to="260.9pt,1.05pt" o:allowincell="f" strokecolor="#000000" strokeweight="0.4pt"/>
            </w:pict>
          </mc:Fallback>
        </mc:AlternateContent>
      </w:r>
    </w:p>
    <w:p>
      <w:pPr>
        <w:spacing w:after="0" w:line="17" w:lineRule="exact"/>
        <w:rPr>
          <w:sz w:val="20"/>
          <w:szCs w:val="20"/>
          <w:color w:val="auto"/>
        </w:rPr>
      </w:pPr>
    </w:p>
    <w:p>
      <w:pPr xmlns:w="http://schemas.openxmlformats.org/wordprocessingml/2006/main">
        <w:jc w:val="both"/>
        <w:ind w:left="59" w:right="40"/>
        <w:spacing w:after="0" w:line="251" w:lineRule="auto"/>
        <w:rPr>
          <w:sz w:val="20"/>
          <w:szCs w:val="20"/>
          <w:color w:val="auto"/>
        </w:rPr>
      </w:pPr>
      <w:r>
        <w:rPr xmlns:w="http://schemas.openxmlformats.org/wordprocessingml/2006/main">
          <w:rFonts w:ascii="Arial" w:cs="Arial" w:eastAsia="Arial" w:hAnsi="Arial"/>
          <w:sz w:val="16"/>
          <w:szCs w:val="16"/>
          <w:color w:val="231F20"/>
        </w:rPr>
        <w:t xml:space="preserve">Dies ist das Maximum, das aus Ihrem Geld genommen werden kann, bevor es investiert wird / bevor der Erlös Ihrer Investition ausgezahlt wird.</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-3810</wp:posOffset>
                </wp:positionV>
                <wp:extent cx="3302000" cy="0"/>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9" o:spid="_x0000_s103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0.2999pt" to="260.9pt,-0.2999pt" o:allowincell="f" strokecolor="#000000" strokeweight="0.4pt"/>
            </w:pict>
          </mc:Fallback>
        </mc:AlternateContent>
      </w:r>
    </w:p>
    <w:p>
      <w:pPr xmlns:w="http://schemas.openxmlformats.org/wordprocessingml/2006/main">
        <w:ind w:left="59"/>
        <w:spacing w:after="0"/>
        <w:rPr>
          <w:sz w:val="20"/>
          <w:szCs w:val="20"/>
          <w:color w:val="auto"/>
        </w:rPr>
      </w:pPr>
      <w:r>
        <w:rPr xmlns:w="http://schemas.openxmlformats.org/wordprocessingml/2006/main">
          <w:rFonts w:ascii="Arial" w:cs="Arial" w:eastAsia="Arial" w:hAnsi="Arial"/>
          <w:sz w:val="16"/>
          <w:szCs w:val="16"/>
          <w:color w:val="231F20"/>
        </w:rPr>
        <w:t xml:space="preserve">Über ein Jahr aus dem Fonds übernommene Belastungen</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23495</wp:posOffset>
                </wp:positionV>
                <wp:extent cx="3302000" cy="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10" o:spid="_x0000_s103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1.85pt" to="260.9pt,1.85pt" o:allowincell="f" strokecolor="#000000" strokeweight="0.4pt"/>
            </w:pict>
          </mc:Fallback>
        </mc:AlternateContent>
      </w:r>
    </w:p>
    <w:p>
      <w:pPr>
        <w:spacing w:after="0" w:line="33" w:lineRule="exact"/>
        <w:rPr>
          <w:sz w:val="20"/>
          <w:szCs w:val="20"/>
          <w:color w:val="auto"/>
        </w:rPr>
      </w:pPr>
    </w:p>
    <w:tbl>
      <w:tblPr>
        <w:tblLayout w:type="fixed"/>
        <w:tblInd w:w="19" w:type="dxa"/>
        <w:tblCellMar>
          <w:top w:w="0" w:type="dxa"/>
          <w:left w:w="0" w:type="dxa"/>
          <w:bottom w:w="0" w:type="dxa"/>
          <w:right w:w="0" w:type="dxa"/>
        </w:tblCellMar>
      </w:tblPr>
      <w:tr>
        <w:trPr>
          <w:trHeight w:val="224"/>
        </w:trPr>
        <w:tc>
          <w:tcPr>
            <w:tcW w:w="4580" w:type="dxa"/>
            <w:vAlign w:val="bottom"/>
            <w:tcBorders>
              <w:bottom w:val="single" w:sz="8" w:color="auto"/>
            </w:tcBorders>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231F20"/>
              </w:rPr>
              <w:t xml:space="preserve">Laufende Kosten</w:t>
            </w:r>
          </w:p>
        </w:tc>
        <w:tc>
          <w:tcPr>
            <w:tcW w:w="640" w:type="dxa"/>
            <w:vAlign w:val="bottom"/>
            <w:tcBorders>
              <w:bottom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231F20"/>
              </w:rPr>
              <w:t xml:space="preserve">0,07 %</w:t>
            </w:r>
          </w:p>
        </w:tc>
      </w:tr>
      <w:tr>
        <w:trPr>
          <w:trHeight w:val="229"/>
        </w:trPr>
        <w:tc>
          <w:tcPr>
            <w:tcW w:w="4580" w:type="dxa"/>
            <w:vAlign w:val="bottom"/>
            <w:tcBorders>
              <w:bottom w:val="single" w:sz="8" w:color="auto"/>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231F20"/>
              </w:rPr>
              <w:t xml:space="preserve">Vom Fonds unter bestimmten Voraussetzungen entrichtete Gebühren</w:t>
            </w:r>
          </w:p>
        </w:tc>
        <w:tc>
          <w:tcPr>
            <w:tcW w:w="640" w:type="dxa"/>
            <w:vAlign w:val="bottom"/>
            <w:tcBorders>
              <w:bottom w:val="single" w:sz="8" w:color="auto"/>
            </w:tcBorders>
          </w:tcPr>
          <w:p>
            <w:pPr>
              <w:spacing w:after="0"/>
              <w:rPr>
                <w:sz w:val="19"/>
                <w:szCs w:val="19"/>
                <w:color w:val="auto"/>
              </w:rPr>
            </w:pPr>
          </w:p>
        </w:tc>
      </w:tr>
      <w:tr>
        <w:trPr>
          <w:trHeight w:val="214"/>
        </w:trPr>
        <w:tc>
          <w:tcPr>
            <w:tcW w:w="4580" w:type="dxa"/>
            <w:vAlign w:val="bottom"/>
            <w:tcBorders>
              <w:bottom w:val="single" w:sz="8" w:color="auto"/>
            </w:tcBorders>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231F20"/>
              </w:rPr>
              <w:t xml:space="preserve">Leistungsgebühr</w:t>
            </w:r>
          </w:p>
        </w:tc>
        <w:tc>
          <w:tcPr>
            <w:tcW w:w="640" w:type="dxa"/>
            <w:vAlign w:val="bottom"/>
            <w:tcBorders>
              <w:bottom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231F20"/>
              </w:rPr>
              <w:t xml:space="preserve">Keine</w:t>
            </w:r>
          </w:p>
        </w:tc>
      </w:tr>
    </w:tbl>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xmlns:w="http://schemas.openxmlformats.org/wordprocessingml/2006/main">
        <w:jc w:val="both"/>
        <w:spacing w:after="0" w:line="211" w:lineRule="auto"/>
        <w:rPr>
          <w:sz w:val="20"/>
          <w:szCs w:val="20"/>
          <w:color w:val="auto"/>
        </w:rPr>
      </w:pPr>
      <w:r>
        <w:rPr xmlns:w="http://schemas.openxmlformats.org/wordprocessingml/2006/main">
          <w:rFonts w:ascii="Arial" w:cs="Arial" w:eastAsia="Arial" w:hAnsi="Arial"/>
          <w:sz w:val="16"/>
          <w:szCs w:val="16"/>
          <w:color w:val="231F20"/>
        </w:rPr>
        <w:t xml:space="preserve">Anleger, die keine Authorized Participants ("APs") sind, müssen möglicherweise Gebühren an einen Börsenmakler zahlen, wenn Sie an der Börse(n) kaufen oder verkaufen.</w:t>
      </w:r>
      <w:r>
        <w:rPr xmlns:w="http://schemas.openxmlformats.org/wordprocessingml/2006/main">
          <w:rFonts w:ascii="Arial" w:cs="Arial" w:eastAsia="Arial" w:hAnsi="Arial"/>
          <w:sz w:val="16"/>
          <w:szCs w:val="16"/>
          <w:color w:val="231F20"/>
        </w:rPr>
        <w:t xml:space="preserve"> Die Gebühren sind direkt von Ihrem Börsenmakler erhältlich und werden nicht vom Fonds erhoben oder an ihn zahlbar.</w:t>
      </w:r>
    </w:p>
    <w:p>
      <w:pPr>
        <w:spacing w:after="0" w:line="1" w:lineRule="exact"/>
        <w:rPr>
          <w:sz w:val="20"/>
          <w:szCs w:val="20"/>
          <w:color w:val="auto"/>
        </w:rPr>
      </w:pPr>
    </w:p>
    <w:p>
      <w:pPr xmlns:w="http://schemas.openxmlformats.org/wordprocessingml/2006/main">
        <w:jc w:val="both"/>
        <w:spacing w:after="0" w:line="226" w:lineRule="auto"/>
        <w:rPr>
          <w:sz w:val="20"/>
          <w:szCs w:val="20"/>
          <w:color w:val="auto"/>
        </w:rPr>
      </w:pPr>
      <w:r>
        <w:rPr xmlns:w="http://schemas.openxmlformats.org/wordprocessingml/2006/main">
          <w:rFonts w:ascii="Arial" w:cs="Arial" w:eastAsia="Arial" w:hAnsi="Arial"/>
          <w:sz w:val="16"/>
          <w:szCs w:val="16"/>
          <w:color w:val="231F20"/>
        </w:rPr>
        <w:t xml:space="preserve">Die angezeigten Ein- und Ausreisegebühren sind Höchstbeträge und in einigen Fällen können Sie weniger bezahlen.</w:t>
      </w:r>
      <w:r>
        <w:rPr xmlns:w="http://schemas.openxmlformats.org/wordprocessingml/2006/main">
          <w:rFonts w:ascii="Arial" w:cs="Arial" w:eastAsia="Arial" w:hAnsi="Arial"/>
          <w:sz w:val="16"/>
          <w:szCs w:val="16"/>
          <w:color w:val="231F20"/>
        </w:rPr>
        <w:t xml:space="preserve"> Die Anleger können sich über die tatsächlichen Ein- und Ausstiegsgebühren bei ihrem Händler und/oder Berater informieren.</w:t>
      </w:r>
    </w:p>
    <w:p>
      <w:pPr xmlns:w="http://schemas.openxmlformats.org/wordprocessingml/2006/main">
        <w:jc w:val="both"/>
        <w:spacing w:after="0" w:line="236" w:lineRule="auto"/>
        <w:rPr>
          <w:sz w:val="20"/>
          <w:szCs w:val="20"/>
          <w:color w:val="auto"/>
        </w:rPr>
      </w:pPr>
      <w:r>
        <w:rPr xmlns:w="http://schemas.openxmlformats.org/wordprocessingml/2006/main">
          <w:rFonts w:ascii="Arial" w:cs="Arial" w:eastAsia="Arial" w:hAnsi="Arial"/>
          <w:sz w:val="15"/>
          <w:szCs w:val="15"/>
          <w:color w:val="231F20"/>
        </w:rPr>
        <w:t xml:space="preserve">APs, die direkt mit dem Fonds zu tun haben, zahlen die damit verbundenen Transaktionskosten.</w:t>
      </w:r>
      <w:r>
        <w:rPr xmlns:w="http://schemas.openxmlformats.org/wordprocessingml/2006/main">
          <w:rFonts w:ascii="Arial" w:cs="Arial" w:eastAsia="Arial" w:hAnsi="Arial"/>
          <w:sz w:val="15"/>
          <w:szCs w:val="15"/>
          <w:color w:val="231F20"/>
        </w:rPr>
        <w:t xml:space="preserve"> Für Geldschöpfungen oder -rückzahlungen kann eine Bartransaktionsgebühr von maximal 2 % anfallen, die an den Fonds gezahlt wird, und alle Transaktionen werden mit Transaktionskosten verbunden sein.</w:t>
      </w:r>
      <w:r>
        <w:rPr xmlns:w="http://schemas.openxmlformats.org/wordprocessingml/2006/main">
          <w:rFonts w:ascii="Arial" w:cs="Arial" w:eastAsia="Arial" w:hAnsi="Arial"/>
          <w:sz w:val="15"/>
          <w:szCs w:val="15"/>
          <w:color w:val="231F20"/>
        </w:rPr>
        <w:t xml:space="preserve"> Anleger, die keine APs sind, zahlen diese Gebühren oder Kosten nicht.</w:t>
      </w:r>
    </w:p>
    <w:p>
      <w:pPr>
        <w:spacing w:after="0" w:line="2" w:lineRule="exact"/>
        <w:rPr>
          <w:sz w:val="20"/>
          <w:szCs w:val="20"/>
          <w:color w:val="auto"/>
        </w:rPr>
      </w:pPr>
    </w:p>
    <w:p>
      <w:pPr xmlns:w="http://schemas.openxmlformats.org/wordprocessingml/2006/main">
        <w:jc w:val="both"/>
        <w:spacing w:after="0" w:line="226" w:lineRule="auto"/>
        <w:tabs>
          <w:tab w:leader="none" w:pos="97" w:val="left"/>
        </w:tabs>
        <w:numPr>
          <w:ilvl w:val="0"/>
          <w:numId w:val="15"/>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Im Falle einer umfangreichen Zeichnung oder Rücknahme durch einen Anleger muss dieser unter Umständen eine zusätzliche Gebühr (z. B. eine Anti-Verwässerungsabgabe) an den Fonds zahlen, um die entstandenen Transaktionskosten zu decken.</w:t>
      </w:r>
    </w:p>
    <w:p>
      <w:pPr xmlns:w="http://schemas.openxmlformats.org/wordprocessingml/2006/main">
        <w:jc w:val="both"/>
        <w:spacing w:after="0" w:line="226" w:lineRule="auto"/>
        <w:rPr>
          <w:sz w:val="20"/>
          <w:szCs w:val="20"/>
          <w:color w:val="auto"/>
        </w:rPr>
      </w:pPr>
      <w:r>
        <w:rPr xmlns:w="http://schemas.openxmlformats.org/wordprocessingml/2006/main">
          <w:rFonts w:ascii="Arial" w:cs="Arial" w:eastAsia="Arial" w:hAnsi="Arial"/>
          <w:sz w:val="16"/>
          <w:szCs w:val="16"/>
          <w:color w:val="231F20"/>
        </w:rPr>
        <w:t xml:space="preserve">Die laufenden Kosten basieren auf Aufwendungen für das am 31. Dezember 2022 endende Jahr.</w:t>
      </w:r>
      <w:r>
        <w:rPr xmlns:w="http://schemas.openxmlformats.org/wordprocessingml/2006/main">
          <w:rFonts w:ascii="Arial" w:cs="Arial" w:eastAsia="Arial" w:hAnsi="Arial"/>
          <w:sz w:val="16"/>
          <w:szCs w:val="16"/>
          <w:color w:val="231F20"/>
        </w:rPr>
        <w:t xml:space="preserve"> Diese Zahl kann von Jahr zu Jahr variieren.</w:t>
      </w:r>
      <w:r>
        <w:rPr xmlns:w="http://schemas.openxmlformats.org/wordprocessingml/2006/main">
          <w:rFonts w:ascii="Arial" w:cs="Arial" w:eastAsia="Arial" w:hAnsi="Arial"/>
          <w:sz w:val="16"/>
          <w:szCs w:val="16"/>
          <w:color w:val="231F20"/>
        </w:rPr>
        <w:t xml:space="preserve"> Die Portfoliotransaktionskosten werden nicht berücksichtigt.</w:t>
      </w:r>
    </w:p>
    <w:p>
      <w:pPr xmlns:w="http://schemas.openxmlformats.org/wordprocessingml/2006/main">
        <w:jc w:val="both"/>
        <w:spacing w:after="0" w:line="247" w:lineRule="auto"/>
        <w:rPr>
          <w:sz w:val="20"/>
          <w:szCs w:val="20"/>
          <w:color w:val="auto"/>
        </w:rPr>
      </w:pPr>
      <w:r>
        <w:rPr xmlns:w="http://schemas.openxmlformats.org/wordprocessingml/2006/main">
          <w:rFonts w:ascii="Arial" w:cs="Arial" w:eastAsia="Arial" w:hAnsi="Arial"/>
          <w:sz w:val="15"/>
          <w:szCs w:val="15"/>
          <w:b w:val="1"/>
          <w:bCs w:val="1"/>
          <w:color w:val="231F20"/>
        </w:rPr>
        <w:t xml:space="preserve">Weitere Informationen zu den Gebühren finden Sie im Prospekt und in den Abschnitten "Kauf von Aktien", "Rücknahme von Aktien", "Gebühren und Aufwendungen" sowie in Anhang 1 auf unserer Website unter</w:t>
      </w:r>
      <w:r>
        <w:rPr xmlns:w="http://schemas.openxmlformats.org/wordprocessingml/2006/main">
          <w:rFonts w:ascii="Arial" w:cs="Arial" w:eastAsia="Arial" w:hAnsi="Arial"/>
          <w:sz w:val="15"/>
          <w:szCs w:val="15"/>
          <w:color w:val="231F20"/>
        </w:rPr>
        <w:t xml:space="preserve"> https://global.vanguard.com</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-3429000</wp:posOffset>
                </wp:positionH>
                <wp:positionV relativeFrom="paragraph">
                  <wp:posOffset>85725</wp:posOffset>
                </wp:positionV>
                <wp:extent cx="6845300" cy="0"/>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11" o:spid="_x0000_s103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70pt,6.75pt" to="269pt,6.75pt" o:allowincell="f" strokecolor="#231F20" strokeweight="0.4pt"/>
            </w:pict>
          </mc:Fallback>
        </mc:AlternateContent>
      </w:r>
    </w:p>
    <w:p>
      <w:pPr>
        <w:spacing w:after="0" w:line="200" w:lineRule="exact"/>
        <w:rPr>
          <w:sz w:val="20"/>
          <w:szCs w:val="20"/>
          <w:color w:val="auto"/>
        </w:rPr>
      </w:pPr>
    </w:p>
    <w:p>
      <w:pPr>
        <w:sectPr>
          <w:pgSz w:w="11900" w:h="16940" w:orient="portrait"/>
          <w:cols w:equalWidth="0" w:num="2">
            <w:col w:w="5219" w:space="200"/>
            <w:col w:w="5380"/>
          </w:cols>
          <w:pgMar w:left="541" w:top="477" w:right="560" w:bottom="0" w:gutter="0" w:footer="0" w:header="0"/>
          <w:type w:val="continuous"/>
        </w:sectPr>
      </w:pPr>
    </w:p>
    <w:p>
      <w:pPr>
        <w:spacing w:after="0" w:line="13" w:lineRule="exact"/>
        <w:rPr>
          <w:sz w:val="20"/>
          <w:szCs w:val="20"/>
          <w:color w:val="auto"/>
        </w:rPr>
      </w:pPr>
    </w:p>
    <w:p>
      <w:pPr xmlns:w="http://schemas.openxmlformats.org/wordprocessingml/2006/main">
        <w:ind w:left="19"/>
        <w:spacing w:after="0"/>
        <w:rPr>
          <w:sz w:val="20"/>
          <w:szCs w:val="20"/>
          <w:color w:val="auto"/>
        </w:rPr>
      </w:pPr>
      <w:r>
        <w:rPr xmlns:w="http://schemas.openxmlformats.org/wordprocessingml/2006/main">
          <w:rFonts w:ascii="Arial" w:cs="Arial" w:eastAsia="Arial" w:hAnsi="Arial"/>
          <w:sz w:val="24"/>
          <w:szCs w:val="24"/>
          <w:color w:val="231F20"/>
        </w:rPr>
        <w:t xml:space="preserve">Bisherige Ergebnisse</w:t>
      </w:r>
    </w:p>
    <w:p>
      <w:pPr>
        <w:spacing w:after="0" w:line="136" w:lineRule="exact"/>
        <w:rPr>
          <w:sz w:val="20"/>
          <w:szCs w:val="20"/>
          <w:color w:val="auto"/>
        </w:rPr>
      </w:pPr>
    </w:p>
    <w:p>
      <w:pPr xmlns:w="http://schemas.openxmlformats.org/wordprocessingml/2006/main">
        <w:ind w:left="6019"/>
        <w:spacing w:after="0"/>
        <w:rPr>
          <w:sz w:val="20"/>
          <w:szCs w:val="20"/>
          <w:color w:val="auto"/>
        </w:rPr>
      </w:pPr>
      <w:r>
        <w:rPr xmlns:w="http://schemas.openxmlformats.org/wordprocessingml/2006/main">
          <w:rFonts w:ascii="Arial" w:cs="Arial" w:eastAsia="Arial" w:hAnsi="Arial"/>
          <w:sz w:val="16"/>
          <w:szCs w:val="16"/>
          <w:color w:val="231F20"/>
        </w:rPr>
        <w:t xml:space="preserve">2 </w:t>
      </w:r>
      <w:r>
        <w:rPr xmlns:w="http://schemas.openxmlformats.org/wordprocessingml/2006/main">
          <w:rFonts w:ascii="Arial" w:cs="Arial" w:eastAsia="Arial" w:hAnsi="Arial"/>
          <w:sz w:val="16"/>
          <w:szCs w:val="16"/>
          <w:b w:val="1"/>
          <w:bCs w:val="1"/>
          <w:color w:val="231F20"/>
        </w:rPr>
        <w:t xml:space="preserve">Leistung in der Vergangenheit: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75565</wp:posOffset>
            </wp:positionH>
            <wp:positionV relativeFrom="paragraph">
              <wp:posOffset>-112395</wp:posOffset>
            </wp:positionV>
            <wp:extent cx="3619500" cy="213360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extLst>
                        <a:ext uri="{28A0092B-C50C-407E-A947-70E740481C1C}"/>
                      </a:extLst>
                    </a:blip>
                    <a:srcRect/>
                    <a:stretch>
                      <a:fillRect/>
                    </a:stretch>
                  </pic:blipFill>
                  <pic:spPr bwMode="auto">
                    <a:xfrm>
                      <a:off x="0" y="0"/>
                      <a:ext cx="3619500" cy="2133600"/>
                    </a:xfrm>
                    <a:prstGeom prst="rect">
                      <a:avLst/>
                    </a:prstGeom>
                    <a:noFill/>
                  </pic:spPr>
                </pic:pic>
              </a:graphicData>
            </a:graphic>
          </wp:anchor>
        </w:drawing>
      </w:r>
    </w:p>
    <w:p>
      <w:pPr>
        <w:spacing w:after="0" w:line="22" w:lineRule="exact"/>
        <w:rPr>
          <w:sz w:val="20"/>
          <w:szCs w:val="20"/>
          <w:color w:val="auto"/>
        </w:rPr>
      </w:pPr>
    </w:p>
    <w:p>
      <w:pPr xmlns:w="http://schemas.openxmlformats.org/wordprocessingml/2006/main">
        <w:ind w:left="6219"/>
        <w:spacing w:after="0"/>
        <w:rPr>
          <w:sz w:val="20"/>
          <w:szCs w:val="20"/>
          <w:color w:val="auto"/>
        </w:rPr>
      </w:pPr>
      <w:r>
        <w:rPr xmlns:w="http://schemas.openxmlformats.org/wordprocessingml/2006/main">
          <w:rFonts w:ascii="Arial" w:cs="Arial" w:eastAsia="Arial" w:hAnsi="Arial"/>
          <w:sz w:val="16"/>
          <w:szCs w:val="16"/>
          <w:color w:val="231F20"/>
        </w:rPr>
        <w:t xml:space="preserve">1. </w:t>
      </w:r>
      <w:r>
        <w:rPr xmlns:w="http://schemas.openxmlformats.org/wordprocessingml/2006/main">
          <w:rFonts w:ascii="Arial" w:cs="Arial" w:eastAsia="Arial" w:hAnsi="Arial"/>
          <w:sz w:val="16"/>
          <w:szCs w:val="16"/>
          <w:b w:val="1"/>
          <w:bCs w:val="1"/>
          <w:color w:val="231F20"/>
        </w:rPr>
        <w:t xml:space="preserve">Ist kein zuverlässiger Indikator für die zukünftige Leistung.</w:t>
      </w:r>
    </w:p>
    <w:p>
      <w:pPr>
        <w:spacing w:after="0" w:line="16" w:lineRule="exact"/>
        <w:rPr>
          <w:sz w:val="20"/>
          <w:szCs w:val="20"/>
          <w:color w:val="auto"/>
        </w:rPr>
      </w:pPr>
    </w:p>
    <w:p>
      <w:pPr xmlns:w="http://schemas.openxmlformats.org/wordprocessingml/2006/main">
        <w:ind w:left="6419" w:hanging="199"/>
        <w:spacing w:after="0" w:line="229" w:lineRule="auto"/>
        <w:rPr>
          <w:sz w:val="20"/>
          <w:szCs w:val="20"/>
          <w:color w:val="auto"/>
        </w:rPr>
      </w:pPr>
      <w:r>
        <w:rPr xmlns:w="http://schemas.openxmlformats.org/wordprocessingml/2006/main">
          <w:rFonts w:ascii="Arial" w:cs="Arial" w:eastAsia="Arial" w:hAnsi="Arial"/>
          <w:sz w:val="16"/>
          <w:szCs w:val="16"/>
          <w:color w:val="231F20"/>
        </w:rPr>
        <w:t xml:space="preserve">2. Umfasst laufende Aufwendungen und die Reinvestition von Erträgen.</w:t>
      </w:r>
      <w:r>
        <w:rPr xmlns:w="http://schemas.openxmlformats.org/wordprocessingml/2006/main">
          <w:rFonts w:ascii="Arial" w:cs="Arial" w:eastAsia="Arial" w:hAnsi="Arial"/>
          <w:sz w:val="16"/>
          <w:szCs w:val="16"/>
          <w:color w:val="231F20"/>
        </w:rPr>
        <w:t xml:space="preserve"> Nicht enthalten sind die Ein- und Ausreisegebühren.</w:t>
      </w:r>
    </w:p>
    <w:p>
      <w:pPr>
        <w:spacing w:after="0" w:line="1" w:lineRule="exact"/>
        <w:rPr>
          <w:sz w:val="20"/>
          <w:szCs w:val="20"/>
          <w:color w:val="auto"/>
        </w:rPr>
      </w:pPr>
    </w:p>
    <w:p>
      <w:pPr xmlns:w="http://schemas.openxmlformats.org/wordprocessingml/2006/main">
        <w:ind w:left="6219"/>
        <w:spacing w:after="0"/>
        <w:rPr>
          <w:sz w:val="20"/>
          <w:szCs w:val="20"/>
          <w:color w:val="auto"/>
        </w:rPr>
      </w:pPr>
      <w:r>
        <w:rPr xmlns:w="http://schemas.openxmlformats.org/wordprocessingml/2006/main">
          <w:rFonts w:ascii="Arial" w:cs="Arial" w:eastAsia="Arial" w:hAnsi="Arial"/>
          <w:sz w:val="16"/>
          <w:szCs w:val="16"/>
          <w:color w:val="231F20"/>
        </w:rPr>
        <w:t xml:space="preserve">3. Wurde in USD berechnet.</w:t>
      </w:r>
    </w:p>
    <w:p>
      <w:pPr>
        <w:spacing w:after="0" w:line="16" w:lineRule="exact"/>
        <w:rPr>
          <w:sz w:val="20"/>
          <w:szCs w:val="20"/>
          <w:color w:val="auto"/>
        </w:rPr>
      </w:pPr>
    </w:p>
    <w:p>
      <w:pPr xmlns:w="http://schemas.openxmlformats.org/wordprocessingml/2006/main">
        <w:ind w:left="6019"/>
        <w:spacing w:after="0"/>
        <w:rPr>
          <w:sz w:val="20"/>
          <w:szCs w:val="20"/>
          <w:color w:val="auto"/>
        </w:rPr>
      </w:pPr>
      <w:r>
        <w:rPr xmlns:w="http://schemas.openxmlformats.org/wordprocessingml/2006/main">
          <w:rFonts w:ascii="Arial" w:cs="Arial" w:eastAsia="Arial" w:hAnsi="Arial"/>
          <w:sz w:val="16"/>
          <w:szCs w:val="16"/>
          <w:color w:val="231F20"/>
        </w:rPr>
        <w:t xml:space="preserve">2 Aktien des Fonds wurden erstmals 2012 ausgegeben.</w:t>
      </w:r>
    </w:p>
    <w:p>
      <w:pPr xmlns:w="http://schemas.openxmlformats.org/wordprocessingml/2006/main">
        <w:ind w:left="6159"/>
        <w:spacing w:after="0" w:line="187" w:lineRule="auto"/>
        <w:rPr>
          <w:sz w:val="20"/>
          <w:szCs w:val="20"/>
          <w:color w:val="auto"/>
        </w:rPr>
      </w:pPr>
      <w:r>
        <w:rPr xmlns:w="http://schemas.openxmlformats.org/wordprocessingml/2006/main">
          <w:rFonts w:ascii="Arial" w:cs="Arial" w:eastAsia="Arial" w:hAnsi="Arial"/>
          <w:sz w:val="15"/>
          <w:szCs w:val="15"/>
          <w:color w:val="231F20"/>
        </w:rPr>
        <w:t xml:space="preserve">Diese Aktienkurse wurde 2012 eingeführt.</w:t>
      </w:r>
    </w:p>
    <w:tbl>
      <w:tblPr>
        <w:tblLayout w:type="fixed"/>
        <w:tblInd w:w="0" w:type="dxa"/>
        <w:tblCellMar>
          <w:top w:w="0" w:type="dxa"/>
          <w:left w:w="0" w:type="dxa"/>
          <w:bottom w:w="0" w:type="dxa"/>
          <w:right w:w="0" w:type="dxa"/>
        </w:tblCellMar>
      </w:tblPr>
      <w:tr>
        <w:trPr>
          <w:trHeight w:val="780"/>
        </w:trPr>
        <w:tc>
          <w:tcPr>
            <w:tcW w:w="161" w:type="dxa"/>
            <w:vAlign w:val="bottom"/>
            <w:textDirection w:val="btLr"/>
          </w:tcPr>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231F20"/>
              </w:rPr>
              <w:t xml:space="preserve">Prozent (%)</w:t>
            </w: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xmlns:w="http://schemas.openxmlformats.org/wordprocessingml/2006/main">
        <w:ind w:left="419"/>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98425" cy="9842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a:extLst>
                        <a:ext uri="{28A0092B-C50C-407E-A947-70E740481C1C}"/>
                      </a:extLst>
                    </a:blip>
                    <a:srcRect/>
                    <a:stretch>
                      <a:fillRect/>
                    </a:stretch>
                  </pic:blipFill>
                  <pic:spPr bwMode="auto">
                    <a:xfrm>
                      <a:off x="0" y="0"/>
                      <a:ext cx="98425" cy="98425"/>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231F20"/>
        </w:rPr>
        <w:t xml:space="preserve"> Geldmittel</w:t>
      </w:r>
    </w:p>
    <w:p>
      <w:pPr>
        <w:spacing w:after="0" w:line="25" w:lineRule="exact"/>
        <w:rPr>
          <w:sz w:val="20"/>
          <w:szCs w:val="20"/>
          <w:color w:val="auto"/>
        </w:rPr>
      </w:pPr>
    </w:p>
    <w:p>
      <w:pPr xmlns:w="http://schemas.openxmlformats.org/wordprocessingml/2006/main">
        <w:ind w:left="419"/>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98425" cy="9842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a:extLst>
                        <a:ext uri="{28A0092B-C50C-407E-A947-70E740481C1C}"/>
                      </a:extLst>
                    </a:blip>
                    <a:srcRect/>
                    <a:stretch>
                      <a:fillRect/>
                    </a:stretch>
                  </pic:blipFill>
                  <pic:spPr bwMode="auto">
                    <a:xfrm>
                      <a:off x="0" y="0"/>
                      <a:ext cx="98425" cy="98425"/>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231F20"/>
        </w:rPr>
        <w:t xml:space="preserve"> Inhaltsverzeichnis</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93980</wp:posOffset>
                </wp:positionV>
                <wp:extent cx="6845300" cy="0"/>
                <wp:wrapNone/>
                <wp:docPr id="15" name="Shape 1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15" o:spid="_x0000_s1040"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7.4pt" to="539.9pt,7.4pt" o:allowincell="f" strokecolor="#231F20" strokeweight="0.4pt"/>
            </w:pict>
          </mc:Fallback>
        </mc:AlternateContent>
      </w:r>
    </w:p>
    <w:p>
      <w:pPr>
        <w:spacing w:after="0" w:line="206" w:lineRule="exact"/>
        <w:rPr>
          <w:sz w:val="20"/>
          <w:szCs w:val="20"/>
          <w:color w:val="auto"/>
        </w:rPr>
      </w:pPr>
    </w:p>
    <w:p>
      <w:pPr xmlns:w="http://schemas.openxmlformats.org/wordprocessingml/2006/main">
        <w:ind w:left="19"/>
        <w:spacing w:after="0"/>
        <w:rPr>
          <w:sz w:val="20"/>
          <w:szCs w:val="20"/>
          <w:color w:val="auto"/>
        </w:rPr>
      </w:pPr>
      <w:r>
        <w:rPr xmlns:w="http://schemas.openxmlformats.org/wordprocessingml/2006/main">
          <w:rFonts w:ascii="Arial" w:cs="Arial" w:eastAsia="Arial" w:hAnsi="Arial"/>
          <w:sz w:val="24"/>
          <w:szCs w:val="24"/>
          <w:color w:val="231F20"/>
        </w:rPr>
        <w:t xml:space="preserve">Praktische Informationen</w:t>
      </w:r>
    </w:p>
    <w:p>
      <w:pPr>
        <w:spacing w:after="0" w:line="136" w:lineRule="exact"/>
        <w:rPr>
          <w:sz w:val="20"/>
          <w:szCs w:val="20"/>
          <w:color w:val="auto"/>
        </w:rPr>
      </w:pPr>
    </w:p>
    <w:p>
      <w:pPr xmlns:w="http://schemas.openxmlformats.org/wordprocessingml/2006/main">
        <w:ind w:left="159" w:hanging="140"/>
        <w:spacing w:after="0"/>
        <w:tabs>
          <w:tab w:leader="none" w:pos="159" w:val="left"/>
        </w:tabs>
        <w:numPr>
          <w:ilvl w:val="0"/>
          <w:numId w:val="16"/>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Verwahrstelle:</w:t>
      </w:r>
      <w:r>
        <w:rPr xmlns:w="http://schemas.openxmlformats.org/wordprocessingml/2006/main">
          <w:rFonts w:ascii="Arial" w:cs="Arial" w:eastAsia="Arial" w:hAnsi="Arial"/>
          <w:sz w:val="16"/>
          <w:szCs w:val="16"/>
          <w:color w:val="231F20"/>
        </w:rPr>
        <w:t xml:space="preserve"> Brown Brothers Harriman Trustee Services (Ireland) Limited.</w:t>
      </w:r>
    </w:p>
    <w:p>
      <w:pPr>
        <w:spacing w:after="0" w:line="42" w:lineRule="exact"/>
        <w:rPr>
          <w:sz w:val="20"/>
          <w:szCs w:val="20"/>
          <w:color w:val="auto"/>
        </w:rPr>
      </w:pPr>
    </w:p>
    <w:p>
      <w:pPr xmlns:w="http://schemas.openxmlformats.org/wordprocessingml/2006/main">
        <w:jc w:val="both"/>
        <w:ind w:left="159" w:hanging="139"/>
        <w:spacing w:after="0" w:line="216" w:lineRule="auto"/>
        <w:rPr>
          <w:sz w:val="20"/>
          <w:szCs w:val="20"/>
          <w:color w:val="auto"/>
        </w:rPr>
      </w:pPr>
      <w:r>
        <w:rPr xmlns:w="http://schemas.openxmlformats.org/wordprocessingml/2006/main">
          <w:rFonts w:ascii="Arial" w:cs="Arial" w:eastAsia="Arial" w:hAnsi="Arial"/>
          <w:sz w:val="16"/>
          <w:szCs w:val="16"/>
          <w:color w:val="231F20"/>
        </w:rPr>
        <w:t xml:space="preserve">2 </w:t>
      </w:r>
      <w:r>
        <w:rPr xmlns:w="http://schemas.openxmlformats.org/wordprocessingml/2006/main">
          <w:rFonts w:ascii="Arial" w:cs="Arial" w:eastAsia="Arial" w:hAnsi="Arial"/>
          <w:sz w:val="16"/>
          <w:szCs w:val="16"/>
          <w:b w:val="1"/>
          <w:bCs w:val="1"/>
          <w:color w:val="231F20"/>
        </w:rPr>
        <w:t xml:space="preserve">Dokumente, Kurse von Aktien und weitere Informationen:</w:t>
      </w:r>
      <w:r>
        <w:rPr xmlns:w="http://schemas.openxmlformats.org/wordprocessingml/2006/main">
          <w:rFonts w:ascii="Arial" w:cs="Arial" w:eastAsia="Arial" w:hAnsi="Arial"/>
          <w:sz w:val="16"/>
          <w:szCs w:val="16"/>
          <w:color w:val="231F20"/>
        </w:rPr>
        <w:t xml:space="preserve"> Sie können Kopien des Prospekts und des neuesten Jahres- und Halbjahresberichts und Abschlusses für Vanguard Funds plc ("VF") sowie die neuesten veröffentlichten Kurse von Aktien und andere praktische Informationen von VF c/o Brown Brothers Harriman Fund Administration Services (Ireland) Limited, 30 Herbert Street, Dublin 2, D02 W329, Irland oder von unserer Website unter https://global.vanguard.com erhalten.</w:t>
      </w:r>
      <w:r>
        <w:rPr xmlns:w="http://schemas.openxmlformats.org/wordprocessingml/2006/main">
          <w:rFonts w:ascii="Arial" w:cs="Arial" w:eastAsia="Arial" w:hAnsi="Arial"/>
          <w:sz w:val="16"/>
          <w:szCs w:val="16"/>
          <w:color w:val="231F20"/>
        </w:rPr>
        <w:t xml:space="preserve"> Informationen über die Offenlegungspolitik des Fonds und die Veröffentlichung des iNAV können unter https://global.vanguard.com/portal/site/portal/ucits-documentation abgerufen werden.</w:t>
      </w:r>
      <w:r>
        <w:rPr xmlns:w="http://schemas.openxmlformats.org/wordprocessingml/2006/main">
          <w:rFonts w:ascii="Arial" w:cs="Arial" w:eastAsia="Arial" w:hAnsi="Arial"/>
          <w:sz w:val="16"/>
          <w:szCs w:val="16"/>
          <w:color w:val="231F20"/>
        </w:rPr>
        <w:t xml:space="preserve"> Die Dokumente sind in englischer Sprache verfügbar und kostenlos.</w:t>
      </w:r>
    </w:p>
    <w:p>
      <w:pPr>
        <w:spacing w:after="0" w:line="2" w:lineRule="exact"/>
        <w:rPr>
          <w:sz w:val="20"/>
          <w:szCs w:val="20"/>
          <w:color w:val="auto"/>
        </w:rPr>
      </w:pPr>
    </w:p>
    <w:p>
      <w:pPr xmlns:w="http://schemas.openxmlformats.org/wordprocessingml/2006/main">
        <w:ind w:left="159" w:hanging="140"/>
        <w:spacing w:after="0"/>
        <w:tabs>
          <w:tab w:leader="none" w:pos="159" w:val="left"/>
        </w:tabs>
        <w:numPr>
          <w:ilvl w:val="0"/>
          <w:numId w:val="17"/>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Kurse:</w:t>
      </w:r>
      <w:r>
        <w:rPr xmlns:w="http://schemas.openxmlformats.org/wordprocessingml/2006/main">
          <w:rFonts w:ascii="Arial" w:cs="Arial" w:eastAsia="Arial" w:hAnsi="Arial"/>
          <w:sz w:val="16"/>
          <w:szCs w:val="16"/>
          <w:color w:val="231F20"/>
        </w:rPr>
        <w:t xml:space="preserve"> Die zuletzt veröffentlichten Kurse der Fondsanteile sind auch auf der Website der FT unter www.ft.com oder https://global.vanguard.com abrufbar.</w:t>
      </w:r>
    </w:p>
    <w:p>
      <w:pPr>
        <w:spacing w:after="0" w:line="26" w:lineRule="exact"/>
        <w:rPr>
          <w:sz w:val="20"/>
          <w:szCs w:val="20"/>
          <w:color w:val="auto"/>
        </w:rPr>
      </w:pPr>
    </w:p>
    <w:p>
      <w:pPr xmlns:w="http://schemas.openxmlformats.org/wordprocessingml/2006/main">
        <w:ind w:left="159" w:hanging="140"/>
        <w:spacing w:after="0" w:line="228" w:lineRule="auto"/>
        <w:tabs>
          <w:tab w:leader="none" w:pos="159" w:val="left"/>
        </w:tabs>
        <w:numPr>
          <w:ilvl w:val="0"/>
          <w:numId w:val="18"/>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Steuern:</w:t>
      </w:r>
      <w:r>
        <w:rPr xmlns:w="http://schemas.openxmlformats.org/wordprocessingml/2006/main">
          <w:rFonts w:ascii="Arial" w:cs="Arial" w:eastAsia="Arial" w:hAnsi="Arial"/>
          <w:sz w:val="16"/>
          <w:szCs w:val="16"/>
          <w:color w:val="231F20"/>
        </w:rPr>
        <w:t xml:space="preserve"> VF unterliegt den irischen Steuergesetzen.</w:t>
      </w:r>
      <w:r>
        <w:rPr xmlns:w="http://schemas.openxmlformats.org/wordprocessingml/2006/main">
          <w:rFonts w:ascii="Arial" w:cs="Arial" w:eastAsia="Arial" w:hAnsi="Arial"/>
          <w:sz w:val="16"/>
          <w:szCs w:val="16"/>
          <w:color w:val="231F20"/>
        </w:rPr>
        <w:t xml:space="preserve"> Je nach Land Ihres Wohnsitzes kann dies Auswirkungen auf Ihre persönliche Steuersituation haben.</w:t>
      </w:r>
      <w:r>
        <w:rPr xmlns:w="http://schemas.openxmlformats.org/wordprocessingml/2006/main">
          <w:rFonts w:ascii="Arial" w:cs="Arial" w:eastAsia="Arial" w:hAnsi="Arial"/>
          <w:sz w:val="16"/>
          <w:szCs w:val="16"/>
          <w:color w:val="231F20"/>
        </w:rPr>
        <w:t xml:space="preserve"> Es wird empfohlen, sich an Ihren Steuerberater zu wenden.</w:t>
      </w:r>
    </w:p>
    <w:p>
      <w:pPr xmlns:w="http://schemas.openxmlformats.org/wordprocessingml/2006/main">
        <w:ind w:left="159" w:hanging="140"/>
        <w:spacing w:after="0" w:line="234" w:lineRule="auto"/>
        <w:tabs>
          <w:tab w:leader="none" w:pos="159" w:val="left"/>
        </w:tabs>
        <w:numPr>
          <w:ilvl w:val="0"/>
          <w:numId w:val="19"/>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Haftung:</w:t>
      </w:r>
      <w:r>
        <w:rPr xmlns:w="http://schemas.openxmlformats.org/wordprocessingml/2006/main">
          <w:rFonts w:ascii="Arial" w:cs="Arial" w:eastAsia="Arial" w:hAnsi="Arial"/>
          <w:sz w:val="16"/>
          <w:szCs w:val="16"/>
          <w:color w:val="231F20"/>
        </w:rPr>
        <w:t xml:space="preserve"> VGIL kann allein auf der Grundlage einer in diesem Dokument enthaltenen Aussage, die irreführend, ungenau oder inkonsistent mit den relevanten Teilen des Prospekts für VF ist, haftbar gemacht werden.</w:t>
      </w:r>
    </w:p>
    <w:p>
      <w:pPr>
        <w:spacing w:after="0" w:line="1" w:lineRule="exact"/>
        <w:rPr>
          <w:sz w:val="20"/>
          <w:szCs w:val="20"/>
          <w:color w:val="auto"/>
        </w:rPr>
      </w:pPr>
    </w:p>
    <w:p>
      <w:pPr xmlns:w="http://schemas.openxmlformats.org/wordprocessingml/2006/main">
        <w:ind w:left="159" w:hanging="139"/>
        <w:spacing w:after="0" w:line="236" w:lineRule="auto"/>
        <w:rPr>
          <w:sz w:val="20"/>
          <w:szCs w:val="20"/>
          <w:color w:val="auto"/>
        </w:rPr>
      </w:pPr>
      <w:r>
        <w:rPr xmlns:w="http://schemas.openxmlformats.org/wordprocessingml/2006/main">
          <w:rFonts w:ascii="Arial" w:cs="Arial" w:eastAsia="Arial" w:hAnsi="Arial"/>
          <w:sz w:val="16"/>
          <w:szCs w:val="16"/>
          <w:color w:val="231F20"/>
        </w:rPr>
        <w:t xml:space="preserve">2 </w:t>
      </w:r>
      <w:r>
        <w:rPr xmlns:w="http://schemas.openxmlformats.org/wordprocessingml/2006/main">
          <w:rFonts w:ascii="Arial" w:cs="Arial" w:eastAsia="Arial" w:hAnsi="Arial"/>
          <w:sz w:val="16"/>
          <w:szCs w:val="16"/>
          <w:b w:val="1"/>
          <w:bCs w:val="1"/>
          <w:color w:val="231F20"/>
        </w:rPr>
        <w:t xml:space="preserve">Teilfonds</w:t>
      </w:r>
      <w:r>
        <w:rPr xmlns:w="http://schemas.openxmlformats.org/wordprocessingml/2006/main">
          <w:rFonts w:ascii="Arial" w:cs="Arial" w:eastAsia="Arial" w:hAnsi="Arial"/>
          <w:sz w:val="16"/>
          <w:szCs w:val="16"/>
          <w:color w:val="231F20"/>
        </w:rPr>
        <w:t xml:space="preserve">: Der VF ist ein Dachfonds mit einer Reihe von Teilfonds.</w:t>
      </w:r>
      <w:r>
        <w:rPr xmlns:w="http://schemas.openxmlformats.org/wordprocessingml/2006/main">
          <w:rFonts w:ascii="Arial" w:cs="Arial" w:eastAsia="Arial" w:hAnsi="Arial"/>
          <w:sz w:val="16"/>
          <w:szCs w:val="16"/>
          <w:color w:val="231F20"/>
        </w:rPr>
        <w:t xml:space="preserve"> Dieses Dokument beschreibt einen Teilfonds von VF.</w:t>
      </w:r>
      <w:r>
        <w:rPr xmlns:w="http://schemas.openxmlformats.org/wordprocessingml/2006/main">
          <w:rFonts w:ascii="Arial" w:cs="Arial" w:eastAsia="Arial" w:hAnsi="Arial"/>
          <w:sz w:val="16"/>
          <w:szCs w:val="16"/>
          <w:color w:val="231F20"/>
        </w:rPr>
        <w:t xml:space="preserve"> Der Prospekt und die periodischen Berichte werden für das gesamte Unternehmen erstellt.</w:t>
      </w:r>
    </w:p>
    <w:p>
      <w:pPr xmlns:w="http://schemas.openxmlformats.org/wordprocessingml/2006/main">
        <w:ind w:left="159" w:hanging="140"/>
        <w:spacing w:after="0" w:line="234" w:lineRule="auto"/>
        <w:tabs>
          <w:tab w:leader="none" w:pos="159" w:val="left"/>
        </w:tabs>
        <w:numPr>
          <w:ilvl w:val="0"/>
          <w:numId w:val="20"/>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VF ist ein Dachfonds mit getrennter Haftung zwischen Teilfonds.</w:t>
      </w:r>
      <w:r>
        <w:rPr xmlns:w="http://schemas.openxmlformats.org/wordprocessingml/2006/main">
          <w:rFonts w:ascii="Arial" w:cs="Arial" w:eastAsia="Arial" w:hAnsi="Arial"/>
          <w:sz w:val="16"/>
          <w:szCs w:val="16"/>
          <w:color w:val="231F20"/>
        </w:rPr>
        <w:t xml:space="preserve"> Dies bedeutet, dass die Bestände des Fonds nach irischem Recht getrennt von den Beständen anderer Unterfonds von VF gehalten werden und Ihre Investition in den Fonds durch Ansprüche gegen andere Unterfonds von VF nicht beeinträchtigt wird.</w:t>
      </w:r>
    </w:p>
    <w:p>
      <w:pPr>
        <w:spacing w:after="0" w:line="1" w:lineRule="exact"/>
        <w:rPr>
          <w:sz w:val="20"/>
          <w:szCs w:val="20"/>
          <w:color w:val="auto"/>
        </w:rPr>
      </w:pPr>
    </w:p>
    <w:p>
      <w:pPr xmlns:w="http://schemas.openxmlformats.org/wordprocessingml/2006/main">
        <w:ind w:left="159" w:hanging="140"/>
        <w:spacing w:after="0" w:line="234" w:lineRule="auto"/>
        <w:tabs>
          <w:tab w:leader="none" w:pos="159" w:val="left"/>
        </w:tabs>
        <w:numPr>
          <w:ilvl w:val="0"/>
          <w:numId w:val="21"/>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Aktien:</w:t>
      </w:r>
      <w:r>
        <w:rPr xmlns:w="http://schemas.openxmlformats.org/wordprocessingml/2006/main">
          <w:rFonts w:ascii="Arial" w:cs="Arial" w:eastAsia="Arial" w:hAnsi="Arial"/>
          <w:sz w:val="16"/>
          <w:szCs w:val="16"/>
          <w:color w:val="231F20"/>
        </w:rPr>
        <w:t xml:space="preserve"> ETF-Aktien des Fonds dürfen nicht gegen ETF-Aktien anderer Teilfonds des VF getauscht werden, jedoch können die Altersversorgungssysteme mit vorheriger Genehmigung die ETF-Aktien des Fonds in eine andere Anteilsklasse desselben Fonds umwandeln, wenn andere Anteilsklassen verfügbar sind.</w:t>
      </w:r>
    </w:p>
    <w:p>
      <w:pPr>
        <w:spacing w:after="0" w:line="1" w:lineRule="exact"/>
        <w:rPr>
          <w:sz w:val="20"/>
          <w:szCs w:val="20"/>
          <w:color w:val="auto"/>
        </w:rPr>
      </w:pPr>
    </w:p>
    <w:p>
      <w:pPr xmlns:w="http://schemas.openxmlformats.org/wordprocessingml/2006/main">
        <w:ind w:left="159" w:hanging="140"/>
        <w:spacing w:after="0"/>
        <w:tabs>
          <w:tab w:leader="none" w:pos="159" w:val="left"/>
        </w:tabs>
        <w:numPr>
          <w:ilvl w:val="0"/>
          <w:numId w:val="2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Informationen zu anderen von VF angebotenen Aktienkursen finden Sie im Prospekt oder auf unserer Website unter https://global.vanguard.com.</w:t>
      </w:r>
    </w:p>
    <w:p>
      <w:pPr>
        <w:spacing w:after="0" w:line="16" w:lineRule="exact"/>
        <w:rPr>
          <w:sz w:val="20"/>
          <w:szCs w:val="20"/>
          <w:color w:val="auto"/>
        </w:rPr>
      </w:pPr>
    </w:p>
    <w:p>
      <w:pPr xmlns:w="http://schemas.openxmlformats.org/wordprocessingml/2006/main">
        <w:ind w:left="159" w:hanging="140"/>
        <w:spacing w:after="0"/>
        <w:tabs>
          <w:tab w:leader="none" w:pos="159" w:val="left"/>
        </w:tabs>
        <w:numPr>
          <w:ilvl w:val="0"/>
          <w:numId w:val="23"/>
        </w:numPr>
        <w:rPr>
          <w:rFonts w:ascii="Arial" w:cs="Arial" w:eastAsia="Arial" w:hAnsi="Arial"/>
          <w:sz w:val="13"/>
          <w:szCs w:val="13"/>
          <w:color w:val="231F20"/>
        </w:rPr>
      </w:pPr>
      <w:r>
        <w:rPr xmlns:w="http://schemas.openxmlformats.org/wordprocessingml/2006/main">
          <w:rFonts w:ascii="Arial" w:cs="Arial" w:eastAsia="Arial" w:hAnsi="Arial"/>
          <w:sz w:val="13"/>
          <w:szCs w:val="13"/>
          <w:b w:val="1"/>
          <w:bCs w:val="1"/>
          <w:color w:val="231F20"/>
        </w:rPr>
        <w:t xml:space="preserve">Vergütungspolitik:</w:t>
      </w:r>
      <w:r>
        <w:rPr xmlns:w="http://schemas.openxmlformats.org/wordprocessingml/2006/main">
          <w:rFonts w:ascii="Arial" w:cs="Arial" w:eastAsia="Arial" w:hAnsi="Arial"/>
          <w:sz w:val="13"/>
          <w:szCs w:val="13"/>
          <w:color w:val="231F20"/>
        </w:rPr>
        <w:t xml:space="preserve"> Details zur Vergütungspolitik der VGIL finden Sie unter https://www.ie.vanguard/content/dam/intl/europe/documents/ch/en/ucits-v-remuneration-policy.pdf</w:t>
      </w:r>
    </w:p>
    <w:p>
      <w:pPr>
        <w:spacing w:after="0" w:line="42" w:lineRule="exact"/>
        <w:rPr>
          <w:rFonts w:ascii="Arial" w:cs="Arial" w:eastAsia="Arial" w:hAnsi="Arial"/>
          <w:sz w:val="13"/>
          <w:szCs w:val="13"/>
          <w:color w:val="231F20"/>
        </w:rPr>
      </w:pPr>
    </w:p>
    <w:p>
      <w:pPr xmlns:w="http://schemas.openxmlformats.org/wordprocessingml/2006/main">
        <w:ind w:left="159"/>
        <w:spacing w:after="0" w:line="222" w:lineRule="auto"/>
        <w:rPr>
          <w:rFonts w:ascii="Arial" w:cs="Arial" w:eastAsia="Arial" w:hAnsi="Arial"/>
          <w:sz w:val="13"/>
          <w:szCs w:val="13"/>
          <w:color w:val="231F20"/>
        </w:rPr>
      </w:pPr>
      <w:r>
        <w:rPr xmlns:w="http://schemas.openxmlformats.org/wordprocessingml/2006/main">
          <w:rFonts w:ascii="Arial" w:cs="Arial" w:eastAsia="Arial" w:hAnsi="Arial"/>
          <w:sz w:val="15"/>
          <w:szCs w:val="15"/>
          <w:color w:val="231F20"/>
        </w:rPr>
        <w:t xml:space="preserve">a) eine Beschreibung, wie die Vergütung und die Leistungen berechnet werden, und b) die Identität der für die Gewährung der Vergütung zuständigen Personen und</w:t>
      </w:r>
    </w:p>
    <w:p>
      <w:pPr xmlns:w="http://schemas.openxmlformats.org/wordprocessingml/2006/main">
        <w:ind w:left="159"/>
        <w:spacing w:after="0" w:line="220" w:lineRule="auto"/>
        <w:rPr>
          <w:sz w:val="20"/>
          <w:szCs w:val="20"/>
          <w:color w:val="auto"/>
        </w:rPr>
      </w:pPr>
      <w:r>
        <w:rPr xmlns:w="http://schemas.openxmlformats.org/wordprocessingml/2006/main">
          <w:rFonts w:ascii="Arial" w:cs="Arial" w:eastAsia="Arial" w:hAnsi="Arial"/>
          <w:sz w:val="16"/>
          <w:szCs w:val="16"/>
          <w:color w:val="231F20"/>
        </w:rPr>
        <w:t xml:space="preserve">Vorteile.</w:t>
      </w:r>
      <w:r>
        <w:rPr xmlns:w="http://schemas.openxmlformats.org/wordprocessingml/2006/main">
          <w:rFonts w:ascii="Arial" w:cs="Arial" w:eastAsia="Arial" w:hAnsi="Arial"/>
          <w:sz w:val="16"/>
          <w:szCs w:val="16"/>
          <w:color w:val="231F20"/>
        </w:rPr>
        <w:t xml:space="preserve"> Eine Kopie dieser Angaben in Papierform ist auf Anfrage bei VGIL at 70 Sir John Rogerson's Quay, Dublin 2, Ireland, kostenlos erhältlich.</w:t>
      </w:r>
    </w:p>
    <w:p>
      <w:pPr>
        <w:sectPr>
          <w:pgSz w:w="11900" w:h="16940" w:orient="portrait"/>
          <w:cols w:equalWidth="0" w:num="1">
            <w:col w:w="10799"/>
          </w:cols>
          <w:pgMar w:left="541" w:top="477" w:right="560" w:bottom="0" w:gutter="0" w:footer="0" w:header="0"/>
          <w:type w:val="continuous"/>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9" w:lineRule="exact"/>
        <w:rPr>
          <w:sz w:val="20"/>
          <w:szCs w:val="20"/>
          <w:color w:val="auto"/>
        </w:rPr>
      </w:pPr>
    </w:p>
    <w:p>
      <w:pPr xmlns:w="http://schemas.openxmlformats.org/wordprocessingml/2006/main">
        <w:ind w:left="19"/>
        <w:spacing w:after="0" w:line="251" w:lineRule="auto"/>
        <w:rPr>
          <w:sz w:val="20"/>
          <w:szCs w:val="20"/>
          <w:color w:val="auto"/>
        </w:rPr>
      </w:pPr>
      <w:r>
        <w:rPr xmlns:w="http://schemas.openxmlformats.org/wordprocessingml/2006/main">
          <w:rFonts w:ascii="Arial" w:cs="Arial" w:eastAsia="Arial" w:hAnsi="Arial"/>
          <w:sz w:val="16"/>
          <w:szCs w:val="16"/>
          <w:color w:val="231F20"/>
        </w:rPr>
        <w:t xml:space="preserve">Der Fonds ist in Irland zugelassen und wird von der irischen Zentralbank (der "Zentralbank") reguliert.</w:t>
      </w:r>
      <w:r>
        <w:rPr xmlns:w="http://schemas.openxmlformats.org/wordprocessingml/2006/main">
          <w:rFonts w:ascii="Arial" w:cs="Arial" w:eastAsia="Arial" w:hAnsi="Arial"/>
          <w:sz w:val="16"/>
          <w:szCs w:val="16"/>
          <w:color w:val="231F20"/>
        </w:rPr>
        <w:t xml:space="preserve"> Die VGIL ist in Irland zugelassen und wird von der Zentralbank reguliert. Diese wichtigen Informationen für den Anleger sind zum 17/02/2023 korrekt.</w:t>
      </w:r>
    </w:p>
    <w:sectPr>
      <w:pgSz w:w="11900" w:h="16940" w:orient="portrait"/>
      <w:cols w:equalWidth="0" w:num="1">
        <w:col w:w="10799"/>
      </w:cols>
      <w:pgMar w:left="541" w:top="477" w:right="560" w:bottom="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59F9BA3D"/>
    <w:multiLevelType w:val="hybridMultilevel"/>
    <w:lvl w:ilvl="0">
      <w:lvlJc w:val="left"/>
      <w:lvlText w:val="%1"/>
      <w:numFmt w:val="decimal"/>
      <w:start w:val="2"/>
    </w:lvl>
  </w:abstractNum>
  <w:abstractNum w:abstractNumId="1">
    <w:nsid w:val="2B9ED00A"/>
    <w:multiLevelType w:val="hybridMultilevel"/>
    <w:lvl w:ilvl="0">
      <w:lvlJc w:val="left"/>
      <w:lvlText w:val="%1"/>
      <w:numFmt w:val="decimal"/>
      <w:start w:val="2"/>
    </w:lvl>
    <w:lvl w:ilvl="1">
      <w:lvlJc w:val="left"/>
      <w:lvlText w:val="%2."/>
      <w:numFmt w:val="decimal"/>
      <w:start w:val="1"/>
    </w:lvl>
  </w:abstractNum>
  <w:abstractNum w:abstractNumId="2">
    <w:nsid w:val="6112C958"/>
    <w:multiLevelType w:val="hybridMultilevel"/>
    <w:lvl w:ilvl="0">
      <w:lvlJc w:val="left"/>
      <w:lvlText w:val="%1"/>
      <w:numFmt w:val="decimal"/>
      <w:start w:val="2"/>
    </w:lvl>
  </w:abstractNum>
  <w:abstractNum w:abstractNumId="3">
    <w:nsid w:val="19AD02FD"/>
    <w:multiLevelType w:val="hybridMultilevel"/>
    <w:lvl w:ilvl="0">
      <w:lvlJc w:val="left"/>
      <w:lvlText w:val="%1"/>
      <w:numFmt w:val="decimal"/>
      <w:start w:val="2"/>
    </w:lvl>
  </w:abstractNum>
  <w:abstractNum w:abstractNumId="4">
    <w:nsid w:val="27000640"/>
    <w:multiLevelType w:val="hybridMultilevel"/>
    <w:lvl w:ilvl="0">
      <w:lvlJc w:val="left"/>
      <w:lvlText w:val="%1"/>
      <w:numFmt w:val="decimal"/>
      <w:start w:val="2"/>
    </w:lvl>
  </w:abstractNum>
  <w:abstractNum w:abstractNumId="5">
    <w:nsid w:val="3418F577"/>
    <w:multiLevelType w:val="hybridMultilevel"/>
    <w:lvl w:ilvl="0">
      <w:lvlJc w:val="left"/>
      <w:lvlText w:val="%1"/>
      <w:numFmt w:val="decimal"/>
      <w:start w:val="2"/>
    </w:lvl>
  </w:abstractNum>
  <w:abstractNum w:abstractNumId="6">
    <w:nsid w:val="3F1CB1E2"/>
    <w:multiLevelType w:val="hybridMultilevel"/>
    <w:lvl w:ilvl="0">
      <w:lvlJc w:val="left"/>
      <w:lvlText w:val="%1"/>
      <w:numFmt w:val="decimal"/>
      <w:start w:val="2"/>
    </w:lvl>
  </w:abstractNum>
  <w:abstractNum w:abstractNumId="7">
    <w:nsid w:val="5044E8E"/>
    <w:multiLevelType w:val="hybridMultilevel"/>
    <w:lvl w:ilvl="0">
      <w:lvlJc w:val="left"/>
      <w:lvlText w:val="%1"/>
      <w:numFmt w:val="decimal"/>
      <w:start w:val="2"/>
    </w:lvl>
  </w:abstractNum>
  <w:abstractNum w:abstractNumId="8">
    <w:nsid w:val="51761C19"/>
    <w:multiLevelType w:val="hybridMultilevel"/>
    <w:lvl w:ilvl="0">
      <w:lvlJc w:val="left"/>
      <w:lvlText w:val="%1"/>
      <w:numFmt w:val="decimal"/>
      <w:start w:val="2"/>
    </w:lvl>
  </w:abstractNum>
  <w:abstractNum w:abstractNumId="9">
    <w:nsid w:val="7BF495D3"/>
    <w:multiLevelType w:val="hybridMultilevel"/>
    <w:lvl w:ilvl="0">
      <w:lvlJc w:val="left"/>
      <w:lvlText w:val="%1"/>
      <w:numFmt w:val="decimal"/>
      <w:start w:val="2"/>
    </w:lvl>
  </w:abstractNum>
  <w:abstractNum w:abstractNumId="10">
    <w:nsid w:val="7A3C9004"/>
    <w:multiLevelType w:val="hybridMultilevel"/>
    <w:lvl w:ilvl="0">
      <w:lvlJc w:val="left"/>
      <w:lvlText w:val="%1"/>
      <w:numFmt w:val="decimal"/>
      <w:start w:val="2"/>
    </w:lvl>
  </w:abstractNum>
  <w:abstractNum w:abstractNumId="11">
    <w:nsid w:val="227DE39"/>
    <w:multiLevelType w:val="hybridMultilevel"/>
    <w:lvl w:ilvl="0">
      <w:lvlJc w:val="left"/>
      <w:lvlText w:val="-"/>
      <w:numFmt w:val="bullet"/>
      <w:start w:val="1"/>
    </w:lvl>
  </w:abstractNum>
  <w:abstractNum w:abstractNumId="12">
    <w:nsid w:val="4BE7FBBD"/>
    <w:multiLevelType w:val="hybridMultilevel"/>
    <w:lvl w:ilvl="0">
      <w:lvlJc w:val="left"/>
      <w:lvlText w:val="%1"/>
      <w:numFmt w:val="decimal"/>
      <w:start w:val="2"/>
    </w:lvl>
  </w:abstractNum>
  <w:abstractNum w:abstractNumId="13">
    <w:nsid w:val="62575C"/>
    <w:multiLevelType w:val="hybridMultilevel"/>
    <w:lvl w:ilvl="0">
      <w:lvlJc w:val="left"/>
      <w:lvlText w:val="%1"/>
      <w:numFmt w:val="decimal"/>
      <w:start w:val="2"/>
    </w:lvl>
  </w:abstractNum>
  <w:abstractNum w:abstractNumId="14">
    <w:nsid w:val="268E42A1"/>
    <w:multiLevelType w:val="hybridMultilevel"/>
    <w:lvl w:ilvl="0">
      <w:lvlJc w:val="left"/>
      <w:lvlText w:val="*"/>
      <w:numFmt w:val="bullet"/>
      <w:start w:val="1"/>
    </w:lvl>
  </w:abstractNum>
  <w:abstractNum w:abstractNumId="15">
    <w:nsid w:val="7BFFBEBA"/>
    <w:multiLevelType w:val="hybridMultilevel"/>
    <w:lvl w:ilvl="0">
      <w:lvlJc w:val="left"/>
      <w:lvlText w:val="%1"/>
      <w:numFmt w:val="decimal"/>
      <w:start w:val="2"/>
    </w:lvl>
  </w:abstractNum>
  <w:abstractNum w:abstractNumId="16">
    <w:nsid w:val="41A35A5F"/>
    <w:multiLevelType w:val="hybridMultilevel"/>
    <w:lvl w:ilvl="0">
      <w:lvlJc w:val="left"/>
      <w:lvlText w:val="%1"/>
      <w:numFmt w:val="decimal"/>
      <w:start w:val="2"/>
    </w:lvl>
  </w:abstractNum>
  <w:abstractNum w:abstractNumId="17">
    <w:nsid w:val="64D7508D"/>
    <w:multiLevelType w:val="hybridMultilevel"/>
    <w:lvl w:ilvl="0">
      <w:lvlJc w:val="left"/>
      <w:lvlText w:val="%1"/>
      <w:numFmt w:val="decimal"/>
      <w:start w:val="2"/>
    </w:lvl>
  </w:abstractNum>
  <w:abstractNum w:abstractNumId="18">
    <w:nsid w:val="1227B25B"/>
    <w:multiLevelType w:val="hybridMultilevel"/>
    <w:lvl w:ilvl="0">
      <w:lvlJc w:val="left"/>
      <w:lvlText w:val="%1"/>
      <w:numFmt w:val="decimal"/>
      <w:start w:val="2"/>
    </w:lvl>
  </w:abstractNum>
  <w:abstractNum w:abstractNumId="19">
    <w:nsid w:val="FFC3A75"/>
    <w:multiLevelType w:val="hybridMultilevel"/>
    <w:lvl w:ilvl="0">
      <w:lvlJc w:val="left"/>
      <w:lvlText w:val="%1"/>
      <w:numFmt w:val="decimal"/>
      <w:start w:val="2"/>
    </w:lvl>
  </w:abstractNum>
  <w:abstractNum w:abstractNumId="20">
    <w:nsid w:val="12A516AF"/>
    <w:multiLevelType w:val="hybridMultilevel"/>
    <w:lvl w:ilvl="0">
      <w:lvlJc w:val="left"/>
      <w:lvlText w:val="%1"/>
      <w:numFmt w:val="decimal"/>
      <w:start w:val="2"/>
    </w:lvl>
  </w:abstractNum>
  <w:abstractNum w:abstractNumId="21">
    <w:nsid w:val="322CA31F"/>
    <w:multiLevelType w:val="hybridMultilevel"/>
    <w:lvl w:ilvl="0">
      <w:lvlJc w:val="left"/>
      <w:lvlText w:val="%1"/>
      <w:numFmt w:val="decimal"/>
      <w:start w:val="2"/>
    </w:lvl>
  </w:abstractNum>
  <w:abstractNum w:abstractNumId="22">
    <w:nsid w:val="5BEE18BE"/>
    <w:multiLevelType w:val="hybridMultilevel"/>
    <w:lvl w:ilvl="0">
      <w:lvlJc w:val="left"/>
      <w:lvlText w:val="%1"/>
      <w:numFmt w:val="decimal"/>
      <w:start w:val="2"/>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pn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jpeg"/><Relationship Id="rId16" Type="http://schemas.openxmlformats.org/officeDocument/2006/relationships/image" Target="media/image5.png"/><Relationship Id="rId17" Type="http://schemas.openxmlformats.org/officeDocument/2006/relationships/image" Target="media/image6.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2023-04-28T17:30:04Z</dcterms:created>
  <dcterms:modified xsi:type="dcterms:W3CDTF">2023-04-28T17:30:04Z</dcterms:modified>
</cp:coreProperties>
</file>