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0</wp:posOffset>
            </wp:positionH>
            <wp:positionV relativeFrom="page">
              <wp:posOffset>0</wp:posOffset>
            </wp:positionV>
            <wp:extent cx="7560310" cy="7327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7560310" cy="732790"/>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auto"/>
        </w:rPr>
        <w:t xml:space="preserve">Dokument zawierający kluczowe informacje</w:t>
      </w:r>
    </w:p>
    <w:p>
      <w:pPr>
        <w:spacing w:after="0" w:line="200" w:lineRule="exact"/>
        <w:rPr>
          <w:sz w:val="24"/>
          <w:szCs w:val="24"/>
          <w:color w:val="auto"/>
        </w:rPr>
      </w:pPr>
    </w:p>
    <w:p>
      <w:pPr>
        <w:spacing w:after="0" w:line="22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Przeznaczenie</w:t>
      </w:r>
    </w:p>
    <w:p>
      <w:pPr>
        <w:spacing w:after="0" w:line="28"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color w:val="auto"/>
        </w:rPr>
        <w:t xml:space="preserve">Niniejszy dokument zawiera kluczowe informacje na temat tego produktu inwestycyjnego.</w:t>
      </w:r>
      <w:r>
        <w:rPr xmlns:w="http://schemas.openxmlformats.org/wordprocessingml/2006/main">
          <w:rFonts w:ascii="Arial" w:cs="Arial" w:eastAsia="Arial" w:hAnsi="Arial"/>
          <w:sz w:val="16"/>
          <w:szCs w:val="16"/>
          <w:color w:val="auto"/>
        </w:rPr>
        <w:t xml:space="preserve"> Nie jest to materiał marketingowy.</w:t>
      </w:r>
      <w:r>
        <w:rPr xmlns:w="http://schemas.openxmlformats.org/wordprocessingml/2006/main">
          <w:rFonts w:ascii="Arial" w:cs="Arial" w:eastAsia="Arial" w:hAnsi="Arial"/>
          <w:sz w:val="16"/>
          <w:szCs w:val="16"/>
          <w:color w:val="auto"/>
        </w:rPr>
        <w:t xml:space="preserve"> Informacje te są wymagane przez prawo, aby pomóc Ci zrozumieć charakter, ryzyko, koszty, potencjalne zyski i straty tego produktu oraz aby pomóc Ci porównać go z innymi produktami.</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Produkt</w:t>
      </w:r>
    </w:p>
    <w:p>
      <w:pPr>
        <w:spacing w:after="0" w:line="22"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b w:val="1"/>
          <w:bCs w:val="1"/>
          <w:color w:val="auto"/>
        </w:rPr>
        <w:t xml:space="preserve">iShares STOXX Europe 600 UCITS ETF (DE)</w:t>
      </w:r>
      <w:r>
        <w:rPr xmlns:w="http://schemas.openxmlformats.org/wordprocessingml/2006/main">
          <w:rFonts w:ascii="Arial" w:cs="Arial" w:eastAsia="Arial" w:hAnsi="Arial"/>
          <w:sz w:val="16"/>
          <w:szCs w:val="16"/>
          <w:color w:val="auto"/>
        </w:rPr>
        <w:t xml:space="preserve"> ("Fundusz"), ISIN: </w:t>
      </w:r>
      <w:r>
        <w:rPr xmlns:w="http://schemas.openxmlformats.org/wordprocessingml/2006/main">
          <w:rFonts w:ascii="Arial" w:cs="Arial" w:eastAsia="Arial" w:hAnsi="Arial"/>
          <w:sz w:val="16"/>
          <w:szCs w:val="16"/>
          <w:b w:val="1"/>
          <w:bCs w:val="1"/>
          <w:color w:val="auto"/>
        </w:rPr>
        <w:t xml:space="preserve">DE0002635307</w:t>
      </w:r>
      <w:r>
        <w:rPr xmlns:w="http://schemas.openxmlformats.org/wordprocessingml/2006/main">
          <w:rFonts w:ascii="Arial" w:cs="Arial" w:eastAsia="Arial" w:hAnsi="Arial"/>
          <w:sz w:val="16"/>
          <w:szCs w:val="16"/>
          <w:color w:val="auto"/>
        </w:rPr>
        <w:t xml:space="preserve">, jest zarejestrowany w Niemczech i produkowany przez BlackRock Asset Management Deutschland AG ("Zarządzający"), który jest częścią grupy BlackRock, Inc.</w:t>
      </w:r>
    </w:p>
    <w:p>
      <w:pPr>
        <w:spacing w:after="0" w:line="1" w:lineRule="exact"/>
        <w:rPr>
          <w:sz w:val="24"/>
          <w:szCs w:val="24"/>
          <w:color w:val="auto"/>
        </w:rPr>
      </w:pP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Zarządzający posiada zezwolenie w Niemczech i jest regulowany przez Federalny Urząd Nadzoru Finansowego (BaFin), a BaFin jest odpowiedzialny za nadzór nad Zarządzającym w odniesieniu do niniejszego dokumentu zawierającego kluczowe informacje.</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Więcej informacji można uzyskać pod adresem </w:t>
      </w:r>
      <w:r>
        <w:rPr xmlns:w="http://schemas.openxmlformats.org/wordprocessingml/2006/main">
          <w:rFonts w:ascii="Arial" w:cs="Arial" w:eastAsia="Arial" w:hAnsi="Arial"/>
          <w:sz w:val="16"/>
          <w:szCs w:val="16"/>
          <w:b w:val="1"/>
          <w:bCs w:val="1"/>
          <w:color w:val="auto"/>
        </w:rPr>
        <w:t xml:space="preserve">www.blackrock.com</w:t>
      </w:r>
      <w:r>
        <w:rPr xmlns:w="http://schemas.openxmlformats.org/wordprocessingml/2006/main">
          <w:rFonts w:ascii="Arial" w:cs="Arial" w:eastAsia="Arial" w:hAnsi="Arial"/>
          <w:sz w:val="16"/>
          <w:szCs w:val="16"/>
          <w:color w:val="auto"/>
        </w:rPr>
        <w:t xml:space="preserve"> lub dzwoniąc pod numer </w:t>
      </w:r>
      <w:r>
        <w:rPr xmlns:w="http://schemas.openxmlformats.org/wordprocessingml/2006/main">
          <w:rFonts w:ascii="Arial" w:cs="Arial" w:eastAsia="Arial" w:hAnsi="Arial"/>
          <w:sz w:val="16"/>
          <w:szCs w:val="16"/>
          <w:b w:val="1"/>
          <w:bCs w:val="1"/>
          <w:color w:val="auto"/>
        </w:rPr>
        <w:t xml:space="preserve">+49 (0) 89 42729 5858</w:t>
      </w:r>
      <w:r>
        <w:rPr xmlns:w="http://schemas.openxmlformats.org/wordprocessingml/2006/main">
          <w:rFonts w:ascii="Arial" w:cs="Arial" w:eastAsia="Arial" w:hAnsi="Arial"/>
          <w:sz w:val="16"/>
          <w:szCs w:val="16"/>
          <w:color w:val="auto"/>
        </w:rPr>
        <w:t xml:space="preserve">.</w:t>
      </w:r>
      <w:r>
        <w:rPr xmlns:w="http://schemas.openxmlformats.org/wordprocessingml/2006/main">
          <w:rFonts w:ascii="Arial" w:cs="Arial" w:eastAsia="Arial" w:hAnsi="Arial"/>
          <w:sz w:val="16"/>
          <w:szCs w:val="16"/>
          <w:color w:val="auto"/>
        </w:rPr>
        <w:t xml:space="preserve"> Niniejszy dokument datowany jest na dzień 13 lutego 2023 roku.</w:t>
      </w:r>
    </w:p>
    <w:p>
      <w:pPr>
        <w:spacing w:after="0" w:line="1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Co to za produkt?</w:t>
      </w:r>
    </w:p>
    <w:p>
      <w:pPr>
        <w:spacing w:after="0" w:line="16"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b w:val="1"/>
          <w:bCs w:val="1"/>
          <w:color w:val="auto"/>
        </w:rPr>
        <w:t xml:space="preserve">Rodzaj:</w:t>
      </w:r>
      <w:r>
        <w:rPr xmlns:w="http://schemas.openxmlformats.org/wordprocessingml/2006/main">
          <w:rFonts w:ascii="Arial" w:cs="Arial" w:eastAsia="Arial" w:hAnsi="Arial"/>
          <w:sz w:val="16"/>
          <w:szCs w:val="16"/>
          <w:color w:val="auto"/>
        </w:rPr>
        <w:t xml:space="preserve"> Fundusz jest funduszem powierniczym (Sondervermoegen) na mocy prawa niemieckiego, posiadającym zezwolenie Federalnej Komisji Nadzoru Finansowego na prowadzenie działalności w zakresie zbiorowego inwestowania w zbywalne papiery wartościowe ("UCITS").</w:t>
      </w:r>
    </w:p>
    <w:p>
      <w:pPr>
        <w:spacing w:after="0" w:line="1" w:lineRule="exact"/>
        <w:rPr>
          <w:sz w:val="24"/>
          <w:szCs w:val="24"/>
          <w:color w:val="auto"/>
        </w:rPr>
      </w:pP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Okres:</w:t>
      </w:r>
      <w:r>
        <w:rPr xmlns:w="http://schemas.openxmlformats.org/wordprocessingml/2006/main">
          <w:rFonts w:ascii="Arial" w:cs="Arial" w:eastAsia="Arial" w:hAnsi="Arial"/>
          <w:sz w:val="16"/>
          <w:szCs w:val="16"/>
          <w:color w:val="auto"/>
        </w:rPr>
        <w:t xml:space="preserve"> Fundusz nie ma ustalonego okresu istnienia ani terminu zapadalności, ale w pewnych okolicznościach, opisanych w prospekcie emisyjnym Funduszu, Fundusz może zostać jednostronnie rozwiązany przez Zarządzającego po uprzednim powiadomieniu posiadaczy jednostek uczestnictwa, z zastrzeżeniem zgodności z prospektem emisyjnym Funduszu i obowiązującymi przepisami.</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Cele</w:t>
      </w:r>
    </w:p>
    <w:p>
      <w:pPr>
        <w:spacing w:after="0" w:line="14" w:lineRule="exact"/>
        <w:rPr>
          <w:sz w:val="24"/>
          <w:szCs w:val="24"/>
          <w:color w:val="auto"/>
        </w:rPr>
      </w:pPr>
    </w:p>
    <w:p>
      <w:pPr xmlns:w="http://schemas.openxmlformats.org/wordprocessingml/2006/main">
        <w:jc w:val="both"/>
        <w:ind w:left="260"/>
        <w:spacing w:after="0" w:line="247" w:lineRule="auto"/>
        <w:rPr>
          <w:sz w:val="20"/>
          <w:szCs w:val="20"/>
          <w:color w:val="auto"/>
        </w:rPr>
      </w:pPr>
      <w:r>
        <w:rPr xmlns:w="http://schemas.openxmlformats.org/wordprocessingml/2006/main">
          <w:rFonts w:ascii="Arial" w:cs="Arial" w:eastAsia="Arial" w:hAnsi="Arial"/>
          <w:sz w:val="16"/>
          <w:szCs w:val="16"/>
          <w:color w:val="auto"/>
        </w:rPr>
        <w:t xml:space="preserve">Akcje klasy jednostkowej iShares STOXX Europe 600 UCITS ETF (DE) EUR (Dist) ("klasa jednostek") to klasa jednostek iShares STOXX Europe 600 UCITS ETF (DE) ("Fundusz"), która jest pasywnie zarządzanym funduszem typu ETF (ang. exchange traded fund), mającym na celu jak najdokładniejsze śledzenie wyników STOXX® Europe 600 (indeks cen).</w:t>
      </w:r>
      <w:r>
        <w:rPr xmlns:w="http://schemas.openxmlformats.org/wordprocessingml/2006/main">
          <w:rFonts w:ascii="Arial" w:cs="Arial" w:eastAsia="Arial" w:hAnsi="Arial"/>
          <w:sz w:val="16"/>
          <w:szCs w:val="16"/>
          <w:color w:val="auto"/>
        </w:rPr>
        <w:t xml:space="preserve"> W tym względzie ma on na celu odtworzenie wskaźnika referencyjnego (Index).</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-332105</wp:posOffset>
            </wp:positionV>
            <wp:extent cx="71755" cy="717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Indeks mierzy wyniki 600 według kapitalizacji rynkowej w wolnym obrocie największych zapasów w 17 rozwiniętych krajach europejskich.</w:t>
      </w:r>
      <w:r>
        <w:rPr xmlns:w="http://schemas.openxmlformats.org/wordprocessingml/2006/main">
          <w:rFonts w:ascii="Arial" w:cs="Arial" w:eastAsia="Arial" w:hAnsi="Arial"/>
          <w:sz w:val="16"/>
          <w:szCs w:val="16"/>
          <w:color w:val="auto"/>
        </w:rPr>
        <w:t xml:space="preserve"> W celu utrzymania dywersyfikacji indeks dokonuje kwartalnej przywrócenia równowagi składnikami ważonymi kapitalizacją w wolnym obrocie, przy czym maksymalny pułap wynosi 20%.</w:t>
      </w:r>
      <w:r>
        <w:rPr xmlns:w="http://schemas.openxmlformats.org/wordprocessingml/2006/main">
          <w:rFonts w:ascii="Arial" w:cs="Arial" w:eastAsia="Arial" w:hAnsi="Arial"/>
          <w:sz w:val="16"/>
          <w:szCs w:val="16"/>
          <w:color w:val="auto"/>
        </w:rPr>
        <w:t xml:space="preserve"> Kapitalizacja w wolnym obrocie jest wartością rynkową łatwo dostępnych akcji spółki.</w:t>
      </w:r>
      <w:r>
        <w:rPr xmlns:w="http://schemas.openxmlformats.org/wordprocessingml/2006/main">
          <w:rFonts w:ascii="Arial" w:cs="Arial" w:eastAsia="Arial" w:hAnsi="Arial"/>
          <w:sz w:val="16"/>
          <w:szCs w:val="16"/>
          <w:color w:val="auto"/>
        </w:rPr>
        <w:t xml:space="preserve"> Fundusz inwestuje głównie w akcje, aby osiągnąć cel inwestycyjny.</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-454025</wp:posOffset>
            </wp:positionV>
            <wp:extent cx="71755" cy="717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71755" cy="71755"/>
                    </a:xfrm>
                    <a:prstGeom prst="rect">
                      <a:avLst/>
                    </a:prstGeom>
                    <a:noFill/>
                  </pic:spPr>
                </pic:pic>
              </a:graphicData>
            </a:graphic>
          </wp:anchor>
        </w:drawing>
        <w:drawing>
          <wp:anchor simplePos="0" relativeHeight="251657728" behindDoc="1" locked="0" layoutInCell="0" allowOverlap="1">
            <wp:simplePos x="0" y="0"/>
            <wp:positionH relativeFrom="column">
              <wp:posOffset>-7620</wp:posOffset>
            </wp:positionH>
            <wp:positionV relativeFrom="paragraph">
              <wp:posOffset>-88900</wp:posOffset>
            </wp:positionV>
            <wp:extent cx="71755" cy="717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Odsetek aktywów Funduszu, który odpowiada wadze Indeksu (procent duplikacji), wynosi co najmniej 95 % aktywów Funduszu.</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-88900</wp:posOffset>
            </wp:positionV>
            <wp:extent cx="71755" cy="717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72" w:lineRule="exact"/>
        <w:rPr>
          <w:sz w:val="24"/>
          <w:szCs w:val="24"/>
          <w:color w:val="auto"/>
        </w:rPr>
      </w:pP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Nie jest intencją Zarządzającego Inwestycjami, aby lewarować fundusz.</w:t>
      </w:r>
      <w:r>
        <w:rPr xmlns:w="http://schemas.openxmlformats.org/wordprocessingml/2006/main">
          <w:rFonts w:ascii="Arial" w:cs="Arial" w:eastAsia="Arial" w:hAnsi="Arial"/>
          <w:sz w:val="16"/>
          <w:szCs w:val="16"/>
          <w:color w:val="auto"/>
        </w:rPr>
        <w:t xml:space="preserve"> Fundusz może jednak od czasu do czasu generować minimalną dźwignię finansową, na przykład jeśli wykorzystuje finansowe instrumenty pochodne (BIZ) do efektywnego zarządzania portfelem.</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Cena udziałowych papierów wartościowych podlega codziennym wahaniom i mogą na nią wpływać czynniki wpływające na wyniki poszczególnych spółek emitujących akcje, jak również codzienne zmiany na rynkach akcji, a także szerszy rozwój sytuacji gospodarczej i politycznej, który z kolei może wpływać na wartość inwestycji.</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-332740</wp:posOffset>
            </wp:positionV>
            <wp:extent cx="71755" cy="717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Zwrot z inwestycji w Fundusz jest bezpośrednio związany z wartością aktywów bazowych Funduszu, pomniejszoną o koszty (zob. "Jakie są koszty?" poniżej).</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line="260" w:lineRule="auto"/>
        <w:rPr>
          <w:sz w:val="20"/>
          <w:szCs w:val="20"/>
          <w:color w:val="auto"/>
        </w:rPr>
      </w:pPr>
      <w:r>
        <w:rPr xmlns:w="http://schemas.openxmlformats.org/wordprocessingml/2006/main">
          <w:rFonts w:ascii="Arial" w:cs="Arial" w:eastAsia="Arial" w:hAnsi="Arial"/>
          <w:sz w:val="16"/>
          <w:szCs w:val="16"/>
          <w:color w:val="auto"/>
        </w:rPr>
        <w:t xml:space="preserve">Zależność między zwrotem z inwestycji, wpływem na nią a okresem, przez który inwestujesz, jest uwzględniona poniżej (patrz "Jak długo powinienem ją utrzymywać i czy mogę wcześnie wycofać swoje pieniądze?").</w:t>
      </w:r>
      <w:r>
        <w:rPr xmlns:w="http://schemas.openxmlformats.org/wordprocessingml/2006/main">
          <w:rFonts w:ascii="Arial" w:cs="Arial" w:eastAsia="Arial" w:hAnsi="Arial"/>
          <w:sz w:val="16"/>
          <w:szCs w:val="16"/>
          <w:color w:val="auto"/>
        </w:rPr>
        <w:t xml:space="preserve"> Depozytariuszem Funduszu jest State Street Bank International GmbH.</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-220980</wp:posOffset>
            </wp:positionV>
            <wp:extent cx="71755" cy="717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71755" cy="71755"/>
                    </a:xfrm>
                    <a:prstGeom prst="rect">
                      <a:avLst/>
                    </a:prstGeom>
                    <a:noFill/>
                  </pic:spPr>
                </pic:pic>
              </a:graphicData>
            </a:graphic>
          </wp:anchor>
        </w:drawing>
        <w:drawing>
          <wp:anchor simplePos="0" relativeHeight="251657728" behindDoc="1" locked="0" layoutInCell="0" allowOverlap="1">
            <wp:simplePos x="0" y="0"/>
            <wp:positionH relativeFrom="column">
              <wp:posOffset>-7620</wp:posOffset>
            </wp:positionH>
            <wp:positionV relativeFrom="paragraph">
              <wp:posOffset>22225</wp:posOffset>
            </wp:positionV>
            <wp:extent cx="71755" cy="7175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56" w:lineRule="exact"/>
        <w:rPr>
          <w:sz w:val="24"/>
          <w:szCs w:val="24"/>
          <w:color w:val="auto"/>
        </w:rPr>
      </w:pP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Więcej informacji na temat Funduszu można znaleźć w najnowszym sprawozdaniu rocznym i półrocznych sprawozdaniach Funduszu.</w:t>
      </w:r>
      <w:r>
        <w:rPr xmlns:w="http://schemas.openxmlformats.org/wordprocessingml/2006/main">
          <w:rFonts w:ascii="Arial" w:cs="Arial" w:eastAsia="Arial" w:hAnsi="Arial"/>
          <w:sz w:val="16"/>
          <w:szCs w:val="16"/>
          <w:color w:val="auto"/>
        </w:rPr>
        <w:t xml:space="preserve"> Dokumenty te są dostępne bezpłatnie w języku niemieckim, angielskim i niektórych innych językach.</w:t>
      </w:r>
      <w:r>
        <w:rPr xmlns:w="http://schemas.openxmlformats.org/wordprocessingml/2006/main">
          <w:rFonts w:ascii="Arial" w:cs="Arial" w:eastAsia="Arial" w:hAnsi="Arial"/>
          <w:sz w:val="16"/>
          <w:szCs w:val="16"/>
          <w:color w:val="auto"/>
        </w:rPr>
        <w:t xml:space="preserve"> Można je znaleźć, wraz z innymi (praktycznymi) informacjami, w tym cenami jednostek, wysyłając e-mail na adres info@iShares.de lub www.ishares.com lub dzwoniąc pod numer +49 (0) 89 42729 5858.</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-332740</wp:posOffset>
            </wp:positionV>
            <wp:extent cx="71755" cy="717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Jednostki Funduszu są jednostkami dystrybucyjnymi.</w:t>
      </w:r>
      <w:r>
        <w:rPr xmlns:w="http://schemas.openxmlformats.org/wordprocessingml/2006/main">
          <w:rFonts w:ascii="Arial" w:cs="Arial" w:eastAsia="Arial" w:hAnsi="Arial"/>
          <w:sz w:val="16"/>
          <w:szCs w:val="16"/>
          <w:color w:val="auto"/>
        </w:rPr>
        <w:t xml:space="preserve"> Przychody z inwestycji Funduszu będą wypłacane co najmniej raz w roku w formie dywidendy.</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Jednostki funduszu są denominowane w euro.</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80" w:right="2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Jednostki są notowane na jednej lub kilku Giełdach Papierów Wartościowych (Giełdach Papierów Wartościowych).</w:t>
      </w:r>
      <w:r>
        <w:rPr xmlns:w="http://schemas.openxmlformats.org/wordprocessingml/2006/main">
          <w:rFonts w:ascii="Arial" w:cs="Arial" w:eastAsia="Arial" w:hAnsi="Arial"/>
          <w:sz w:val="16"/>
          <w:szCs w:val="16"/>
          <w:color w:val="auto"/>
        </w:rPr>
        <w:t xml:space="preserve"> Inwestorzy mogą kupować lub sprzedawać swoje jednostki codziennie w godzinach pracy za pośrednictwem pośrednika na takiej giełdzie (takich giełdach).</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Przeznaczenie inwestora indywidualnego:</w:t>
      </w:r>
      <w:r>
        <w:rPr xmlns:w="http://schemas.openxmlformats.org/wordprocessingml/2006/main">
          <w:rFonts w:ascii="Arial" w:cs="Arial" w:eastAsia="Arial" w:hAnsi="Arial"/>
          <w:sz w:val="16"/>
          <w:szCs w:val="16"/>
          <w:color w:val="auto"/>
        </w:rPr>
        <w:t xml:space="preserve"> Fundusz ten jest przeznaczony dla inwestorów indywidualnych posiadających podstawową wiedzę i doświadczenie, zdolnych do ponoszenia strat do wysokości zainwestowanej w Fundusz kwoty.</w:t>
      </w:r>
      <w:r>
        <w:rPr xmlns:w="http://schemas.openxmlformats.org/wordprocessingml/2006/main">
          <w:rFonts w:ascii="Arial" w:cs="Arial" w:eastAsia="Arial" w:hAnsi="Arial"/>
          <w:sz w:val="16"/>
          <w:szCs w:val="16"/>
          <w:color w:val="auto"/>
        </w:rPr>
        <w:t xml:space="preserve"> Fundusz ten nadaje się do inwestycji średnio- i długoterminowych, chociaż może być również odpowiedni do krótkoterminowego zaangażowania w indeks (zob. "Jak długo powinienem go utrzymywać i czy mogę wcześnie wycofać swoje pieniądze?").</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Świadczenia ubezpieczeniowe:</w:t>
      </w:r>
      <w:r>
        <w:rPr xmlns:w="http://schemas.openxmlformats.org/wordprocessingml/2006/main">
          <w:rFonts w:ascii="Arial" w:cs="Arial" w:eastAsia="Arial" w:hAnsi="Arial"/>
          <w:sz w:val="16"/>
          <w:szCs w:val="16"/>
          <w:color w:val="auto"/>
        </w:rPr>
        <w:t xml:space="preserve"> Fundusz nie oferuje żadnych świadczeń ubezpieczeniowych.</w:t>
      </w:r>
    </w:p>
    <w:p>
      <w:pPr>
        <w:sectPr>
          <w:pgSz w:w="11900" w:h="16838" w:orient="portrait"/>
          <w:cols w:equalWidth="0" w:num="1">
            <w:col w:w="10720"/>
          </w:cols>
          <w:pgMar w:left="580" w:top="483" w:right="606" w:bottom="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74" w:lineRule="exact"/>
        <w:rPr>
          <w:sz w:val="24"/>
          <w:szCs w:val="24"/>
          <w:color w:val="auto"/>
        </w:rPr>
      </w:pPr>
    </w:p>
    <w:p>
      <w:pPr xmlns:w="http://schemas.openxmlformats.org/wordprocessingml/2006/main">
        <w:jc w:val="center"/>
        <w:ind w:right="-39"/>
        <w:spacing w:after="0"/>
        <w:rPr>
          <w:sz w:val="20"/>
          <w:szCs w:val="20"/>
          <w:color w:val="auto"/>
        </w:rPr>
      </w:pPr>
      <w:r>
        <w:rPr xmlns:w="http://schemas.openxmlformats.org/wordprocessingml/2006/main">
          <w:rFonts w:ascii="Arial" w:cs="Arial" w:eastAsia="Arial" w:hAnsi="Arial"/>
          <w:sz w:val="20"/>
          <w:szCs w:val="20"/>
          <w:color w:val="auto"/>
        </w:rPr>
        <w:t xml:space="preserve">1</w:t>
      </w:r>
    </w:p>
    <w:p>
      <w:pPr>
        <w:sectPr>
          <w:pgSz w:w="11900" w:h="16838" w:orient="portrait"/>
          <w:cols w:equalWidth="0" w:num="1">
            <w:col w:w="10720"/>
          </w:cols>
          <w:pgMar w:left="580" w:top="483" w:right="60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Jakie jest ryzyko i co mogę dostać w zamian?</w:t>
      </w:r>
    </w:p>
    <w:p>
      <w:pPr>
        <w:spacing w:after="0" w:line="28"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Wskaźnik Ryzyka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-16510</wp:posOffset>
            </wp:positionV>
            <wp:extent cx="6839585" cy="895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6839585" cy="89535"/>
                    </a:xfrm>
                    <a:prstGeom prst="rect">
                      <a:avLst/>
                    </a:prstGeom>
                    <a:noFill/>
                  </pic:spPr>
                </pic:pic>
              </a:graphicData>
            </a:graphic>
          </wp:anchor>
        </w:drawing>
      </w:r>
    </w:p>
    <w:p>
      <w:pPr>
        <w:spacing w:after="0" w:line="188" w:lineRule="exact"/>
        <w:rPr>
          <w:sz w:val="20"/>
          <w:szCs w:val="20"/>
          <w:color w:val="auto"/>
        </w:rPr>
      </w:pPr>
    </w:p>
    <w:p>
      <w:pPr xmlns:w="http://schemas.openxmlformats.org/wordprocessingml/2006/main">
        <w:ind w:left="20"/>
        <w:spacing w:after="0"/>
        <w:tabs>
          <w:tab w:leader="none" w:pos="10000" w:val="left"/>
        </w:tabs>
        <w:rPr>
          <w:sz w:val="20"/>
          <w:szCs w:val="20"/>
          <w:color w:val="auto"/>
        </w:rPr>
      </w:pPr>
      <w:r>
        <w:rPr xmlns:w="http://schemas.openxmlformats.org/wordprocessingml/2006/main">
          <w:rFonts w:ascii="Arial" w:cs="Arial" w:eastAsia="Arial" w:hAnsi="Arial"/>
          <w:sz w:val="14"/>
          <w:szCs w:val="14"/>
          <w:b w:val="1"/>
          <w:bCs w:val="1"/>
          <w:color w:val="auto"/>
        </w:rPr>
        <w:t xml:space="preserve">Niższe ryzyko</w:t>
        <w:tab xmlns:w="http://schemas.openxmlformats.org/wordprocessingml/2006/main"/>
      </w:r>
      <w:r>
        <w:rPr xmlns:w="http://schemas.openxmlformats.org/wordprocessingml/2006/main">
          <w:rFonts w:ascii="Arial" w:cs="Arial" w:eastAsia="Arial" w:hAnsi="Arial"/>
          <w:sz w:val="14"/>
          <w:szCs w:val="14"/>
          <w:b w:val="1"/>
          <w:bCs w:val="1"/>
          <w:color w:val="auto"/>
        </w:rPr>
        <w:t xml:space="preserve">Wyższe ryzyko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46355</wp:posOffset>
            </wp:positionV>
            <wp:extent cx="6840220" cy="65151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6840220" cy="651510"/>
                    </a:xfrm>
                    <a:prstGeom prst="rect">
                      <a:avLst/>
                    </a:prstGeom>
                    <a:noFill/>
                  </pic:spPr>
                </pic:pic>
              </a:graphicData>
            </a:graphic>
          </wp:anchor>
        </w:drawing>
      </w:r>
    </w:p>
    <w:p>
      <w:pPr>
        <w:spacing w:after="0" w:line="200" w:lineRule="exact"/>
        <w:rPr>
          <w:sz w:val="20"/>
          <w:szCs w:val="20"/>
          <w:color w:val="auto"/>
        </w:rPr>
      </w:pPr>
    </w:p>
    <w:p>
      <w:pPr>
        <w:spacing w:after="0" w:line="354" w:lineRule="exact"/>
        <w:rPr>
          <w:sz w:val="20"/>
          <w:szCs w:val="20"/>
          <w:color w:val="auto"/>
        </w:rPr>
      </w:pPr>
    </w:p>
    <w:p>
      <w:pPr xmlns:w="http://schemas.openxmlformats.org/wordprocessingml/2006/main">
        <w:ind w:left="1420" w:right="40"/>
        <w:spacing w:after="0" w:line="275" w:lineRule="auto"/>
        <w:rPr>
          <w:sz w:val="20"/>
          <w:szCs w:val="20"/>
          <w:color w:val="auto"/>
        </w:rPr>
      </w:pPr>
      <w:r>
        <w:rPr xmlns:w="http://schemas.openxmlformats.org/wordprocessingml/2006/main">
          <w:rFonts w:ascii="Arial" w:cs="Arial" w:eastAsia="Arial" w:hAnsi="Arial"/>
          <w:sz w:val="16"/>
          <w:szCs w:val="16"/>
          <w:b w:val="1"/>
          <w:bCs w:val="1"/>
          <w:color w:val="auto"/>
        </w:rPr>
        <w:t xml:space="preserve">Wskaźnik ryzyka zakłada przechowywanie produktu przez 5 lat.</w:t>
      </w:r>
      <w:r>
        <w:rPr xmlns:w="http://schemas.openxmlformats.org/wordprocessingml/2006/main">
          <w:rFonts w:ascii="Arial" w:cs="Arial" w:eastAsia="Arial" w:hAnsi="Arial"/>
          <w:sz w:val="16"/>
          <w:szCs w:val="16"/>
          <w:b w:val="1"/>
          <w:bCs w:val="1"/>
          <w:color w:val="auto"/>
        </w:rPr>
        <w:t xml:space="preserve"> Rzeczywiste ryzyko może się znacznie różnić, jeśli dokonasz wpłaty na wczesnym etapie, a otrzymasz mniej.</w:t>
      </w:r>
    </w:p>
    <w:p>
      <w:pPr>
        <w:spacing w:after="0" w:line="118" w:lineRule="exact"/>
        <w:rPr>
          <w:sz w:val="20"/>
          <w:szCs w:val="20"/>
          <w:color w:val="auto"/>
        </w:rPr>
      </w:pPr>
    </w:p>
    <w:p>
      <w:pPr xmlns:w="http://schemas.openxmlformats.org/wordprocessingml/2006/main">
        <w:jc w:val="both"/>
        <w:ind w:left="28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Podsumowujący wskaźnik ryzyka jest wskazówką dotyczącą poziomu ryzyka tego produktu w porównaniu z innymi produktami.</w:t>
      </w:r>
      <w:r>
        <w:rPr xmlns:w="http://schemas.openxmlformats.org/wordprocessingml/2006/main">
          <w:rFonts w:ascii="Arial" w:cs="Arial" w:eastAsia="Arial" w:hAnsi="Arial"/>
          <w:sz w:val="16"/>
          <w:szCs w:val="16"/>
          <w:color w:val="auto"/>
        </w:rPr>
        <w:t xml:space="preserve"> Pokazuje, jak prawdopodobne jest, że produkt straci pieniądze z powodu zmian na rynkach lub dlatego, że nie jesteśmy w stanie zapłacić.</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-210820</wp:posOffset>
            </wp:positionV>
            <wp:extent cx="71755" cy="717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8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Zaklasyfikowaliśmy ten produkt jako 4 z 7, co jest średnią klasą ryzyka.</w:t>
      </w:r>
      <w:r>
        <w:rPr xmlns:w="http://schemas.openxmlformats.org/wordprocessingml/2006/main">
          <w:rFonts w:ascii="Arial" w:cs="Arial" w:eastAsia="Arial" w:hAnsi="Arial"/>
          <w:sz w:val="16"/>
          <w:szCs w:val="16"/>
          <w:color w:val="auto"/>
        </w:rPr>
        <w:t xml:space="preserve"> Klasyfikacja ta ocenia potencjalne straty wynikające z przyszłych wyników na średnim poziomie, a złe warunki rynkowe mogą wpłynąć na wartość inwestycji.</w:t>
      </w:r>
      <w:r>
        <w:rPr xmlns:w="http://schemas.openxmlformats.org/wordprocessingml/2006/main">
          <w:rFonts w:ascii="Arial" w:cs="Arial" w:eastAsia="Arial" w:hAnsi="Arial"/>
          <w:sz w:val="16"/>
          <w:szCs w:val="16"/>
          <w:color w:val="auto"/>
        </w:rPr>
        <w:t xml:space="preserve"> Klasyfikacja ta nie jest gwarantowana i może zmieniać się w czasie i może nie być wiarygodnym wskaźnikiem przyszłego profilu ryzyka Funduszu.</w:t>
      </w:r>
      <w:r>
        <w:rPr xmlns:w="http://schemas.openxmlformats.org/wordprocessingml/2006/main">
          <w:rFonts w:ascii="Arial" w:cs="Arial" w:eastAsia="Arial" w:hAnsi="Arial"/>
          <w:sz w:val="16"/>
          <w:szCs w:val="16"/>
          <w:color w:val="auto"/>
        </w:rPr>
        <w:t xml:space="preserve"> Najniższa kategoria nie oznacza braku ryzyka.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-338455</wp:posOffset>
            </wp:positionV>
            <wp:extent cx="71755" cy="717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2" w:lineRule="exact"/>
        <w:rPr>
          <w:sz w:val="20"/>
          <w:szCs w:val="20"/>
          <w:color w:val="auto"/>
        </w:rPr>
      </w:pPr>
    </w:p>
    <w:p>
      <w:pPr xmlns:w="http://schemas.openxmlformats.org/wordprocessingml/2006/main">
        <w:jc w:val="both"/>
        <w:ind w:left="280" w:right="40"/>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Bądź świadomy ryzyka walutowego.</w:t>
      </w:r>
      <w:r>
        <w:rPr xmlns:w="http://schemas.openxmlformats.org/wordprocessingml/2006/main">
          <w:rFonts w:ascii="Arial" w:cs="Arial" w:eastAsia="Arial" w:hAnsi="Arial"/>
          <w:sz w:val="16"/>
          <w:szCs w:val="16"/>
          <w:color w:val="auto"/>
        </w:rPr>
        <w:t xml:space="preserve"> Jeśli otrzymasz płatności w walucie innej niż waluta bazowa produktu, ostateczny zwrot będzie zależał od kursu wymiany między tymi dwiema walutami.</w:t>
      </w:r>
      <w:r>
        <w:rPr xmlns:w="http://schemas.openxmlformats.org/wordprocessingml/2006/main">
          <w:rFonts w:ascii="Arial" w:cs="Arial" w:eastAsia="Arial" w:hAnsi="Arial"/>
          <w:sz w:val="16"/>
          <w:szCs w:val="16"/>
          <w:color w:val="auto"/>
        </w:rPr>
        <w:t xml:space="preserve"> Ryzyko to nie jest uwzględniane we wskaźniku przedstawionym powyżej.</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-210820</wp:posOffset>
            </wp:positionV>
            <wp:extent cx="71755" cy="717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Prospekt emisyjny produktu lub informacje dotyczące ZAFI można znaleźć w celu uzyskania szczegółowych informacji na temat innych istotnych rodzajów ryzyka, które mogą mieć zastosowanie do tego produktu.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-84455</wp:posOffset>
            </wp:positionV>
            <wp:extent cx="71755" cy="717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Ten produkt nie obejmuje żadnej ochrony przed przyszłą sytuacją rynkową, więc możesz stracić część lub całość inwestycji.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-84455</wp:posOffset>
            </wp:positionV>
            <wp:extent cx="71755" cy="717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Jeśli produkt nie jest w stanie spłacić należnej kwoty, możesz stracić całą swoją inwestycję.</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-84455</wp:posOffset>
            </wp:positionV>
            <wp:extent cx="71755" cy="7175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Scenariusze wydajności</w:t>
      </w:r>
    </w:p>
    <w:p>
      <w:pPr>
        <w:spacing w:after="0" w:line="32" w:lineRule="exact"/>
        <w:rPr>
          <w:sz w:val="20"/>
          <w:szCs w:val="20"/>
          <w:color w:val="auto"/>
        </w:rPr>
      </w:pPr>
    </w:p>
    <w:p>
      <w:pPr xmlns:w="http://schemas.openxmlformats.org/wordprocessingml/2006/main">
        <w:jc w:val="both"/>
        <w:ind w:left="40" w:right="6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Podane liczby obejmują wszystkie koszty samego produktu, ale mogą nie obejmować wszystkich kosztów, które płacisz swojemu doradcy lub dystrybutorowi.</w:t>
      </w:r>
      <w:r>
        <w:rPr xmlns:w="http://schemas.openxmlformats.org/wordprocessingml/2006/main">
          <w:rFonts w:ascii="Arial" w:cs="Arial" w:eastAsia="Arial" w:hAnsi="Arial"/>
          <w:sz w:val="16"/>
          <w:szCs w:val="16"/>
          <w:color w:val="auto"/>
        </w:rPr>
        <w:t xml:space="preserve"> Liczby nie uwzględniają Twojej osobistej sytuacji podatkowej, co może mieć również wpływ na to, ile odzyskasz.</w:t>
      </w:r>
      <w:r>
        <w:rPr xmlns:w="http://schemas.openxmlformats.org/wordprocessingml/2006/main">
          <w:rFonts w:ascii="Arial" w:cs="Arial" w:eastAsia="Arial" w:hAnsi="Arial"/>
          <w:sz w:val="16"/>
          <w:szCs w:val="16"/>
          <w:color w:val="auto"/>
        </w:rPr>
        <w:t xml:space="preserve"> To, co uzyskasz z tego produktu, zależy od przyszłej wydajności rynku.</w:t>
      </w:r>
      <w:r>
        <w:rPr xmlns:w="http://schemas.openxmlformats.org/wordprocessingml/2006/main">
          <w:rFonts w:ascii="Arial" w:cs="Arial" w:eastAsia="Arial" w:hAnsi="Arial"/>
          <w:sz w:val="16"/>
          <w:szCs w:val="16"/>
          <w:color w:val="auto"/>
        </w:rPr>
        <w:t xml:space="preserve"> Rozwój rynku w przyszłości jest niepewny i nie można go dokładnie przewidzieć.</w:t>
      </w:r>
      <w:r>
        <w:rPr xmlns:w="http://schemas.openxmlformats.org/wordprocessingml/2006/main">
          <w:rFonts w:ascii="Arial" w:cs="Arial" w:eastAsia="Arial" w:hAnsi="Arial"/>
          <w:sz w:val="16"/>
          <w:szCs w:val="16"/>
          <w:color w:val="auto"/>
        </w:rPr>
        <w:t xml:space="preserve"> Pokazane scenariusze niekorzystne, umiarkowane i korzystne to ilustracje wykorzystujące najgorszą, średnią i najlepszą wydajność produktu, która może obejmować dane wejściowe z wskaźnika referencyjnego (wskaźników referencyjnych) / wskaźnika zastępczego, z ostatnich dziesięciu lat.</w:t>
      </w:r>
      <w:r>
        <w:rPr xmlns:w="http://schemas.openxmlformats.org/wordprocessingml/2006/main">
          <w:rFonts w:ascii="Arial" w:cs="Arial" w:eastAsia="Arial" w:hAnsi="Arial"/>
          <w:sz w:val="16"/>
          <w:szCs w:val="16"/>
          <w:color w:val="auto"/>
        </w:rPr>
        <w:t xml:space="preserve"> Rynki mogą w przyszłości rozwijać się zupełnie inaczej.</w:t>
      </w:r>
    </w:p>
    <w:p>
      <w:pPr>
        <w:spacing w:after="0" w:line="11" w:lineRule="exact"/>
        <w:rPr>
          <w:sz w:val="20"/>
          <w:szCs w:val="20"/>
          <w:color w:val="auto"/>
        </w:rPr>
      </w:pPr>
    </w:p>
    <w:tbl>
      <w:tblPr>
        <w:tblLayout w:type="fixed"/>
        <w:tblInd w:w="0" w:type="dxa"/>
        <w:tblCellMar>
          <w:top w:w="0" w:type="dxa"/>
          <w:left w:w="0" w:type="dxa"/>
          <w:bottom w:w="0" w:type="dxa"/>
          <w:right w:w="0" w:type="dxa"/>
        </w:tblCellMar>
      </w:tblPr>
      <w:tr>
        <w:trPr>
          <w:trHeight w:val="238"/>
        </w:trPr>
        <w:tc>
          <w:tcPr>
            <w:tcW w:w="5900" w:type="dxa"/>
            <w:vAlign w:val="bottom"/>
            <w:gridSpan w:val="2"/>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Zalecany okres utrzymywania: 5 lat</w:t>
            </w:r>
          </w:p>
        </w:tc>
        <w:tc>
          <w:tcPr>
            <w:tcW w:w="4880" w:type="dxa"/>
            <w:vAlign w:val="bottom"/>
            <w:gridSpan w:val="2"/>
            <w:shd w:val="clear" w:color="auto" w:fill="000000"/>
          </w:tcPr>
          <w:p>
            <w:pPr xmlns:w="http://schemas.openxmlformats.org/wordprocessingml/2006/main">
              <w:ind w:left="19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Przykładowe inwestycje: 10 000 EUR</w:t>
            </w:r>
          </w:p>
        </w:tc>
      </w:tr>
      <w:tr>
        <w:trPr>
          <w:trHeight w:val="223"/>
        </w:trPr>
        <w:tc>
          <w:tcPr>
            <w:tcW w:w="1900" w:type="dxa"/>
            <w:vAlign w:val="bottom"/>
            <w:tcBorders>
              <w:bottom w:val="single" w:sz="8" w:color="auto"/>
            </w:tcBorders>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Scenariusze</w:t>
            </w:r>
          </w:p>
        </w:tc>
        <w:tc>
          <w:tcPr>
            <w:tcW w:w="4000" w:type="dxa"/>
            <w:vAlign w:val="bottom"/>
            <w:tcBorders>
              <w:bottom w:val="single" w:sz="8" w:color="auto"/>
            </w:tcBorders>
            <w:shd w:val="clear" w:color="auto" w:fill="000000"/>
          </w:tcPr>
          <w:p>
            <w:pPr>
              <w:spacing w:after="0"/>
              <w:rPr>
                <w:sz w:val="19"/>
                <w:szCs w:val="19"/>
                <w:color w:val="auto"/>
              </w:rPr>
            </w:pPr>
          </w:p>
        </w:tc>
        <w:tc>
          <w:tcPr>
            <w:tcW w:w="2920" w:type="dxa"/>
            <w:vAlign w:val="bottom"/>
            <w:tcBorders>
              <w:bottom w:val="single" w:sz="8" w:color="auto"/>
            </w:tcBorders>
            <w:shd w:val="clear" w:color="auto" w:fill="000000"/>
          </w:tcPr>
          <w:p>
            <w:pPr xmlns:w="http://schemas.openxmlformats.org/wordprocessingml/2006/main">
              <w:ind w:left="112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Jeśli wyjdziesz po 1 roku</w:t>
            </w:r>
          </w:p>
        </w:tc>
        <w:tc>
          <w:tcPr>
            <w:tcW w:w="1980" w:type="dxa"/>
            <w:vAlign w:val="bottom"/>
            <w:tcBorders>
              <w:bottom w:val="single" w:sz="8" w:color="auto"/>
            </w:tcBorders>
            <w:shd w:val="clear" w:color="auto" w:fill="000000"/>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Wyjście z programu po 5 latach</w:t>
            </w:r>
          </w:p>
        </w:tc>
      </w:tr>
      <w:tr>
        <w:trPr>
          <w:trHeight w:val="187"/>
        </w:trPr>
        <w:tc>
          <w:tcPr>
            <w:tcW w:w="19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Minimalne</w:t>
            </w:r>
          </w:p>
        </w:tc>
        <w:tc>
          <w:tcPr>
            <w:tcW w:w="6920" w:type="dxa"/>
            <w:vAlign w:val="bottom"/>
            <w:tcBorders>
              <w:bottom w:val="single" w:sz="8" w:color="auto"/>
            </w:tcBorders>
            <w:gridSpan w:val="2"/>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Nie ma minimalnego gwarantowanego zwrotu.</w:t>
            </w:r>
            <w:r>
              <w:rPr xmlns:w="http://schemas.openxmlformats.org/wordprocessingml/2006/main">
                <w:rFonts w:ascii="Arial" w:cs="Arial" w:eastAsia="Arial" w:hAnsi="Arial"/>
                <w:sz w:val="16"/>
                <w:szCs w:val="16"/>
                <w:b w:val="1"/>
                <w:bCs w:val="1"/>
                <w:color w:val="auto"/>
              </w:rPr>
              <w:t xml:space="preserve"> Możesz stracić część lub całość inwestycji.</w:t>
            </w:r>
          </w:p>
        </w:tc>
        <w:tc>
          <w:tcPr>
            <w:tcW w:w="1980" w:type="dxa"/>
            <w:vAlign w:val="bottom"/>
            <w:tcBorders>
              <w:bottom w:val="single" w:sz="8" w:color="auto"/>
            </w:tcBorders>
          </w:tcPr>
          <w:p>
            <w:pPr>
              <w:spacing w:after="0"/>
              <w:rPr>
                <w:sz w:val="16"/>
                <w:szCs w:val="16"/>
                <w:color w:val="auto"/>
              </w:rPr>
            </w:pPr>
          </w:p>
        </w:tc>
      </w:tr>
      <w:tr>
        <w:trPr>
          <w:trHeight w:val="177"/>
        </w:trPr>
        <w:tc>
          <w:tcPr>
            <w:tcW w:w="190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Stres*</w:t>
            </w: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Co możesz odzyskać po kosztach</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6 850 EUR</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3 360 EUR</w:t>
            </w:r>
          </w:p>
        </w:tc>
      </w:tr>
      <w:tr>
        <w:trPr>
          <w:trHeight w:val="177"/>
        </w:trPr>
        <w:tc>
          <w:tcPr>
            <w:tcW w:w="1900" w:type="dxa"/>
            <w:vAlign w:val="bottom"/>
            <w:tcBorders>
              <w:bottom w:val="single" w:sz="8" w:color="auto"/>
            </w:tcBorders>
          </w:tcPr>
          <w:p>
            <w:pPr>
              <w:spacing w:after="0"/>
              <w:rPr>
                <w:sz w:val="15"/>
                <w:szCs w:val="15"/>
                <w:color w:val="auto"/>
              </w:rPr>
            </w:pP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Średni zwrot w każdym roku</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- 31,5%</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- 19,6%</w:t>
            </w:r>
          </w:p>
        </w:tc>
      </w:tr>
      <w:tr>
        <w:trPr>
          <w:trHeight w:val="177"/>
        </w:trPr>
        <w:tc>
          <w:tcPr>
            <w:tcW w:w="190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Niekorzystny</w:t>
            </w: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Co możesz odzyskać po kosztach</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8 450 EUR</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9 090 EUR</w:t>
            </w:r>
          </w:p>
        </w:tc>
      </w:tr>
      <w:tr>
        <w:trPr>
          <w:trHeight w:val="177"/>
        </w:trPr>
        <w:tc>
          <w:tcPr>
            <w:tcW w:w="1900" w:type="dxa"/>
            <w:vAlign w:val="bottom"/>
            <w:tcBorders>
              <w:bottom w:val="single" w:sz="8" w:color="auto"/>
            </w:tcBorders>
          </w:tcPr>
          <w:p>
            <w:pPr>
              <w:spacing w:after="0"/>
              <w:rPr>
                <w:sz w:val="15"/>
                <w:szCs w:val="15"/>
                <w:color w:val="auto"/>
              </w:rPr>
            </w:pP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Średni zwrot w każdym roku</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- 15,5%</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- 1,9%</w:t>
            </w:r>
          </w:p>
        </w:tc>
      </w:tr>
      <w:tr>
        <w:trPr>
          <w:trHeight w:val="177"/>
        </w:trPr>
        <w:tc>
          <w:tcPr>
            <w:tcW w:w="190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Umiarkowane</w:t>
            </w: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Co możesz odzyskać po kosztach</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10 880 EUR</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13 750 EUR</w:t>
            </w:r>
          </w:p>
        </w:tc>
      </w:tr>
      <w:tr>
        <w:trPr>
          <w:trHeight w:val="177"/>
        </w:trPr>
        <w:tc>
          <w:tcPr>
            <w:tcW w:w="1900" w:type="dxa"/>
            <w:vAlign w:val="bottom"/>
            <w:tcBorders>
              <w:bottom w:val="single" w:sz="8" w:color="auto"/>
            </w:tcBorders>
          </w:tcPr>
          <w:p>
            <w:pPr>
              <w:spacing w:after="0"/>
              <w:rPr>
                <w:sz w:val="15"/>
                <w:szCs w:val="15"/>
                <w:color w:val="auto"/>
              </w:rPr>
            </w:pP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Średni zwrot w każdym roku</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8,8%</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6,6%</w:t>
            </w:r>
          </w:p>
        </w:tc>
      </w:tr>
      <w:tr>
        <w:trPr>
          <w:trHeight w:val="177"/>
        </w:trPr>
        <w:tc>
          <w:tcPr>
            <w:tcW w:w="1900" w:type="dxa"/>
            <w:vAlign w:val="bottom"/>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Korzystne</w:t>
            </w: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Co możesz odzyskać po kosztach</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13 790 EUR</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18 330 EUR</w:t>
            </w:r>
          </w:p>
        </w:tc>
      </w:tr>
      <w:tr>
        <w:trPr>
          <w:trHeight w:val="177"/>
        </w:trPr>
        <w:tc>
          <w:tcPr>
            <w:tcW w:w="1900" w:type="dxa"/>
            <w:vAlign w:val="bottom"/>
            <w:tcBorders>
              <w:bottom w:val="single" w:sz="8" w:color="auto"/>
            </w:tcBorders>
          </w:tcPr>
          <w:p>
            <w:pPr>
              <w:spacing w:after="0"/>
              <w:rPr>
                <w:sz w:val="15"/>
                <w:szCs w:val="15"/>
                <w:color w:val="auto"/>
              </w:rPr>
            </w:pPr>
          </w:p>
        </w:tc>
        <w:tc>
          <w:tcPr>
            <w:tcW w:w="400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Średni zwrot w każdym roku</w:t>
            </w:r>
          </w:p>
        </w:tc>
        <w:tc>
          <w:tcPr>
            <w:tcW w:w="2920" w:type="dxa"/>
            <w:vAlign w:val="bottom"/>
            <w:tcBorders>
              <w:bottom w:val="single" w:sz="8" w:color="auto"/>
            </w:tcBorders>
          </w:tcPr>
          <w:p>
            <w:pPr xmlns:w="http://schemas.openxmlformats.org/wordprocessingml/2006/main">
              <w:ind w:left="11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37,9%</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12.9%</w:t>
            </w:r>
          </w:p>
        </w:tc>
      </w:tr>
    </w:tbl>
    <w:p>
      <w:pPr>
        <w:spacing w:after="0" w:line="18" w:lineRule="exact"/>
        <w:rPr>
          <w:sz w:val="20"/>
          <w:szCs w:val="20"/>
          <w:color w:val="auto"/>
        </w:rPr>
      </w:pPr>
    </w:p>
    <w:p>
      <w:pPr xmlns:w="http://schemas.openxmlformats.org/wordprocessingml/2006/main">
        <w:ind w:left="300" w:hanging="288"/>
        <w:spacing w:after="0"/>
        <w:tabs>
          <w:tab w:leader="none" w:pos="30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Scenariusz warunków skrajnych pokazuje, co możesz odzyskać w ekstremalnych warunkach rynkowych.</w:t>
      </w:r>
    </w:p>
    <w:p>
      <w:pPr>
        <w:spacing w:after="0" w:line="35"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Co się stanie, jeśli BlackRock Asset Management Deutschland AG nie będzie w stanie wypłacić?</w:t>
      </w:r>
    </w:p>
    <w:p>
      <w:pPr>
        <w:spacing w:after="0" w:line="28" w:lineRule="exact"/>
        <w:rPr>
          <w:sz w:val="20"/>
          <w:szCs w:val="20"/>
          <w:color w:val="auto"/>
        </w:rPr>
      </w:pPr>
    </w:p>
    <w:p>
      <w:pPr xmlns:w="http://schemas.openxmlformats.org/wordprocessingml/2006/main">
        <w:jc w:val="both"/>
        <w:ind w:left="20" w:right="4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Aktywa Funduszu przechowywane są w depozytariuszu State Street Bank International GmbH ("Depozytariusz").</w:t>
      </w:r>
      <w:r>
        <w:rPr xmlns:w="http://schemas.openxmlformats.org/wordprocessingml/2006/main">
          <w:rFonts w:ascii="Arial" w:cs="Arial" w:eastAsia="Arial" w:hAnsi="Arial"/>
          <w:sz w:val="16"/>
          <w:szCs w:val="16"/>
          <w:color w:val="auto"/>
        </w:rPr>
        <w:t xml:space="preserve"> W przypadku niewypłacalności Zarządzającego majątek Funduszu przechowywany przez Depozytariusza nie ulegnie zmianie.</w:t>
      </w:r>
      <w:r>
        <w:rPr xmlns:w="http://schemas.openxmlformats.org/wordprocessingml/2006/main">
          <w:rFonts w:ascii="Arial" w:cs="Arial" w:eastAsia="Arial" w:hAnsi="Arial"/>
          <w:sz w:val="16"/>
          <w:szCs w:val="16"/>
          <w:color w:val="auto"/>
        </w:rPr>
        <w:t xml:space="preserve"> Jednak w przypadku niewypłacalności depozytariusza lub osoby działającej w jego imieniu Fundusz może ponieść stratę finansową.</w:t>
      </w:r>
      <w:r>
        <w:rPr xmlns:w="http://schemas.openxmlformats.org/wordprocessingml/2006/main">
          <w:rFonts w:ascii="Arial" w:cs="Arial" w:eastAsia="Arial" w:hAnsi="Arial"/>
          <w:sz w:val="16"/>
          <w:szCs w:val="16"/>
          <w:color w:val="auto"/>
        </w:rPr>
        <w:t xml:space="preserve"> Ryzyko to jest jednak w pewnym stopniu ograniczane przez fakt, że depozytariusz jest zobowiązany na mocy przepisów ustawowych i wykonawczych do oddzielenia aktywów własnych od aktywów Funduszu.</w:t>
      </w:r>
      <w:r>
        <w:rPr xmlns:w="http://schemas.openxmlformats.org/wordprocessingml/2006/main">
          <w:rFonts w:ascii="Arial" w:cs="Arial" w:eastAsia="Arial" w:hAnsi="Arial"/>
          <w:sz w:val="16"/>
          <w:szCs w:val="16"/>
          <w:color w:val="auto"/>
        </w:rPr>
        <w:t xml:space="preserve"> Depozytariusz będzie również odpowiedzialny wobec Funduszu i inwestorów za wszelkie straty wynikające między innymi z jego zaniedbania, oszustwa lub umyślnego niewłaściwego wypełnienia jego obowiązków (z zastrzeżeniem pewnych ograniczeń).</w:t>
      </w:r>
      <w:r>
        <w:rPr xmlns:w="http://schemas.openxmlformats.org/wordprocessingml/2006/main">
          <w:rFonts w:ascii="Arial" w:cs="Arial" w:eastAsia="Arial" w:hAnsi="Arial"/>
          <w:sz w:val="16"/>
          <w:szCs w:val="16"/>
          <w:color w:val="auto"/>
        </w:rPr>
        <w:t xml:space="preserve"> Jako inwestor Funduszu nie byłby Pan/Pani w stanie wystąpić z roszczeniem do jakiegokolwiek systemu rekompensat w odniesieniu do Funduszu w przypadku, gdyby Fundusz nie był w stanie wypłacić środków.</w:t>
      </w:r>
    </w:p>
    <w:p>
      <w:pPr>
        <w:sectPr>
          <w:pgSz w:w="11900" w:h="16838" w:orient="portrait"/>
          <w:cols w:equalWidth="0" w:num="1">
            <w:col w:w="10780"/>
          </w:cols>
          <w:pgMar w:left="56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xmlns:w="http://schemas.openxmlformats.org/wordprocessingml/2006/main">
        <w:jc w:val="center"/>
        <w:ind w:right="-19"/>
        <w:spacing w:after="0"/>
        <w:rPr>
          <w:sz w:val="20"/>
          <w:szCs w:val="20"/>
          <w:color w:val="auto"/>
        </w:rPr>
      </w:pPr>
      <w:r>
        <w:rPr xmlns:w="http://schemas.openxmlformats.org/wordprocessingml/2006/main">
          <w:rFonts w:ascii="Arial" w:cs="Arial" w:eastAsia="Arial" w:hAnsi="Arial"/>
          <w:sz w:val="20"/>
          <w:szCs w:val="20"/>
          <w:color w:val="auto"/>
        </w:rPr>
        <w:t xml:space="preserve">2</w:t>
      </w:r>
    </w:p>
    <w:p>
      <w:pPr>
        <w:sectPr>
          <w:pgSz w:w="11900" w:h="16838" w:orient="portrait"/>
          <w:cols w:equalWidth="0" w:num="1">
            <w:col w:w="10780"/>
          </w:cols>
          <w:pgMar w:left="560" w:top="582" w:right="566" w:bottom="0" w:gutter="0" w:footer="0" w:header="0"/>
          <w:type w:val="continuous"/>
        </w:sectPr>
      </w:pPr>
    </w:p>
    <w:bookmarkStart w:id="2" w:name="page3"/>
    <w:bookmarkEnd w:id="2"/>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Jakie są koszty?</w:t>
      </w:r>
    </w:p>
    <w:p>
      <w:pPr>
        <w:spacing w:after="0" w:line="28" w:lineRule="exact"/>
        <w:rPr>
          <w:sz w:val="20"/>
          <w:szCs w:val="20"/>
          <w:color w:val="auto"/>
        </w:rPr>
      </w:pPr>
    </w:p>
    <w:p>
      <w:pPr xmlns:w="http://schemas.openxmlformats.org/wordprocessingml/2006/main">
        <w:jc w:val="both"/>
        <w:ind w:left="20" w:right="40"/>
        <w:spacing w:after="0" w:line="244" w:lineRule="auto"/>
        <w:rPr>
          <w:sz w:val="20"/>
          <w:szCs w:val="20"/>
          <w:color w:val="auto"/>
        </w:rPr>
      </w:pPr>
      <w:r>
        <w:rPr xmlns:w="http://schemas.openxmlformats.org/wordprocessingml/2006/main">
          <w:rFonts w:ascii="Arial" w:cs="Arial" w:eastAsia="Arial" w:hAnsi="Arial"/>
          <w:sz w:val="16"/>
          <w:szCs w:val="16"/>
          <w:b w:val="1"/>
          <w:bCs w:val="1"/>
          <w:color w:val="auto"/>
        </w:rPr>
        <w:t xml:space="preserve">Koszty w czasie:</w:t>
      </w:r>
      <w:r>
        <w:rPr xmlns:w="http://schemas.openxmlformats.org/wordprocessingml/2006/main">
          <w:rFonts w:ascii="Arial" w:cs="Arial" w:eastAsia="Arial" w:hAnsi="Arial"/>
          <w:sz w:val="16"/>
          <w:szCs w:val="16"/>
          <w:color w:val="auto"/>
        </w:rPr>
        <w:t xml:space="preserve"> Tabele przedstawiają kwoty, które są pobierane z inwestycji w celu pokrycia różnych rodzajów kosztów.</w:t>
      </w:r>
      <w:r>
        <w:rPr xmlns:w="http://schemas.openxmlformats.org/wordprocessingml/2006/main">
          <w:rFonts w:ascii="Arial" w:cs="Arial" w:eastAsia="Arial" w:hAnsi="Arial"/>
          <w:sz w:val="16"/>
          <w:szCs w:val="16"/>
          <w:color w:val="auto"/>
        </w:rPr>
        <w:t xml:space="preserve"> Kwoty te zależą od tego, ile zainwestujesz, jak długo przechowujesz produkt i jak dobrze działa produkt.</w:t>
      </w:r>
      <w:r>
        <w:rPr xmlns:w="http://schemas.openxmlformats.org/wordprocessingml/2006/main">
          <w:rFonts w:ascii="Arial" w:cs="Arial" w:eastAsia="Arial" w:hAnsi="Arial"/>
          <w:sz w:val="16"/>
          <w:szCs w:val="16"/>
          <w:color w:val="auto"/>
        </w:rPr>
        <w:t xml:space="preserve"> Przedstawione tu kwoty są ilustracjami opartymi na przykładowej kwocie inwestycji i różnych możliwych okresach inwestycji.</w:t>
      </w:r>
    </w:p>
    <w:p>
      <w:pPr>
        <w:spacing w:after="0" w:line="1" w:lineRule="exact"/>
        <w:rPr>
          <w:sz w:val="20"/>
          <w:szCs w:val="20"/>
          <w:color w:val="auto"/>
        </w:rPr>
      </w:pPr>
    </w:p>
    <w:tbl>
      <w:tblPr>
        <w:tblLayout w:type="fixed"/>
        <w:tblInd w:w="0" w:type="dxa"/>
        <w:tblCellMar>
          <w:top w:w="0" w:type="dxa"/>
          <w:left w:w="0" w:type="dxa"/>
          <w:bottom w:w="0" w:type="dxa"/>
          <w:right w:w="0" w:type="dxa"/>
        </w:tblCellMar>
      </w:tblPr>
      <w:tr>
        <w:trPr>
          <w:trHeight w:val="186"/>
        </w:trPr>
        <w:tc>
          <w:tcPr>
            <w:tcW w:w="686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Założyliśmy:</w:t>
            </w:r>
          </w:p>
        </w:tc>
        <w:tc>
          <w:tcPr>
            <w:tcW w:w="1960" w:type="dxa"/>
            <w:vAlign w:val="bottom"/>
          </w:tcPr>
          <w:p>
            <w:pPr>
              <w:spacing w:after="0"/>
              <w:rPr>
                <w:sz w:val="16"/>
                <w:szCs w:val="16"/>
                <w:color w:val="auto"/>
              </w:rPr>
            </w:pPr>
          </w:p>
        </w:tc>
        <w:tc>
          <w:tcPr>
            <w:tcW w:w="1980" w:type="dxa"/>
            <w:vAlign w:val="bottom"/>
          </w:tcPr>
          <w:p>
            <w:pPr>
              <w:spacing w:after="0"/>
              <w:rPr>
                <w:sz w:val="16"/>
                <w:szCs w:val="16"/>
                <w:color w:val="auto"/>
              </w:rPr>
            </w:pPr>
          </w:p>
        </w:tc>
      </w:tr>
      <w:tr>
        <w:trPr>
          <w:trHeight w:val="192"/>
        </w:trPr>
        <w:tc>
          <w:tcPr>
            <w:tcW w:w="686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W pierwszym roku otrzymasz kwotę, którą zainwestowałeś (0% rocznego zwrotu).</w:t>
            </w:r>
          </w:p>
        </w:tc>
        <w:tc>
          <w:tcPr>
            <w:tcW w:w="1960" w:type="dxa"/>
            <w:vAlign w:val="bottom"/>
          </w:tcPr>
          <w:p>
            <w:pPr>
              <w:spacing w:after="0"/>
              <w:rPr>
                <w:sz w:val="16"/>
                <w:szCs w:val="16"/>
                <w:color w:val="auto"/>
              </w:rPr>
            </w:pPr>
          </w:p>
        </w:tc>
        <w:tc>
          <w:tcPr>
            <w:tcW w:w="1980" w:type="dxa"/>
            <w:vAlign w:val="bottom"/>
          </w:tcPr>
          <w:p>
            <w:pPr>
              <w:spacing w:after="0"/>
              <w:rPr>
                <w:sz w:val="16"/>
                <w:szCs w:val="16"/>
                <w:color w:val="auto"/>
              </w:rPr>
            </w:pPr>
          </w:p>
        </w:tc>
      </w:tr>
      <w:tr>
        <w:trPr>
          <w:trHeight w:val="194"/>
        </w:trPr>
        <w:tc>
          <w:tcPr>
            <w:tcW w:w="8820" w:type="dxa"/>
            <w:vAlign w:val="bottom"/>
            <w:gridSpan w:val="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W odniesieniu do pozostałych okresów utrzymywania zasobów założyliśmy, że produkt działa zgodnie ze scenariuszem umiarkowanym.</w:t>
            </w:r>
          </w:p>
        </w:tc>
        <w:tc>
          <w:tcPr>
            <w:tcW w:w="1980" w:type="dxa"/>
            <w:vAlign w:val="bottom"/>
          </w:tcPr>
          <w:p>
            <w:pPr>
              <w:spacing w:after="0"/>
              <w:rPr>
                <w:sz w:val="16"/>
                <w:szCs w:val="16"/>
                <w:color w:val="auto"/>
              </w:rPr>
            </w:pPr>
          </w:p>
        </w:tc>
      </w:tr>
      <w:tr>
        <w:trPr>
          <w:trHeight w:val="174"/>
        </w:trPr>
        <w:tc>
          <w:tcPr>
            <w:tcW w:w="6860" w:type="dxa"/>
            <w:vAlign w:val="bottom"/>
          </w:tcPr>
          <w:p>
            <w:pPr xmlns:w="http://schemas.openxmlformats.org/wordprocessingml/2006/main">
              <w:ind w:left="280"/>
              <w:spacing w:after="0" w:line="175" w:lineRule="exact"/>
              <w:rPr>
                <w:sz w:val="20"/>
                <w:szCs w:val="20"/>
                <w:color w:val="auto"/>
              </w:rPr>
            </w:pPr>
            <w:r>
              <w:rPr xmlns:w="http://schemas.openxmlformats.org/wordprocessingml/2006/main">
                <w:rFonts w:ascii="Arial" w:cs="Arial" w:eastAsia="Arial" w:hAnsi="Arial"/>
                <w:sz w:val="16"/>
                <w:szCs w:val="16"/>
                <w:color w:val="auto"/>
              </w:rPr>
              <w:t xml:space="preserve">Zainwestowano 10 000 euro.</w:t>
            </w:r>
          </w:p>
        </w:tc>
        <w:tc>
          <w:tcPr>
            <w:tcW w:w="1960" w:type="dxa"/>
            <w:vAlign w:val="bottom"/>
          </w:tcPr>
          <w:p>
            <w:pPr>
              <w:spacing w:after="0"/>
              <w:rPr>
                <w:sz w:val="15"/>
                <w:szCs w:val="15"/>
                <w:color w:val="auto"/>
              </w:rPr>
            </w:pPr>
          </w:p>
        </w:tc>
        <w:tc>
          <w:tcPr>
            <w:tcW w:w="1980" w:type="dxa"/>
            <w:vAlign w:val="bottom"/>
          </w:tcPr>
          <w:p>
            <w:pPr>
              <w:spacing w:after="0"/>
              <w:rPr>
                <w:sz w:val="15"/>
                <w:szCs w:val="15"/>
                <w:color w:val="auto"/>
              </w:rPr>
            </w:pPr>
          </w:p>
        </w:tc>
      </w:tr>
      <w:tr>
        <w:trPr>
          <w:trHeight w:val="192"/>
        </w:trPr>
        <w:tc>
          <w:tcPr>
            <w:tcW w:w="6860" w:type="dxa"/>
            <w:vAlign w:val="bottom"/>
            <w:tcBorders>
              <w:bottom w:val="single" w:sz="8" w:color="auto"/>
            </w:tcBorders>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Scenariusze</w:t>
            </w:r>
          </w:p>
        </w:tc>
        <w:tc>
          <w:tcPr>
            <w:tcW w:w="1960" w:type="dxa"/>
            <w:vAlign w:val="bottom"/>
            <w:tcBorders>
              <w:bottom w:val="single" w:sz="8" w:color="auto"/>
            </w:tcBorders>
            <w:shd w:val="clear" w:color="auto" w:fill="000000"/>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Jeśli wyjdziesz po 1 roku</w:t>
            </w:r>
          </w:p>
        </w:tc>
        <w:tc>
          <w:tcPr>
            <w:tcW w:w="1980" w:type="dxa"/>
            <w:vAlign w:val="bottom"/>
            <w:tcBorders>
              <w:bottom w:val="single" w:sz="8" w:color="auto"/>
            </w:tcBorders>
            <w:shd w:val="clear" w:color="auto" w:fill="000000"/>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Wyjście z programu po 5 latach</w:t>
            </w:r>
          </w:p>
        </w:tc>
      </w:tr>
      <w:tr>
        <w:trPr>
          <w:trHeight w:val="187"/>
        </w:trPr>
        <w:tc>
          <w:tcPr>
            <w:tcW w:w="686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Koszty ogółem</w:t>
            </w:r>
          </w:p>
        </w:tc>
        <w:tc>
          <w:tcPr>
            <w:tcW w:w="1960" w:type="dxa"/>
            <w:vAlign w:val="bottom"/>
            <w:tcBorders>
              <w:bottom w:val="single" w:sz="8" w:color="auto"/>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322 EUR</w:t>
            </w:r>
          </w:p>
        </w:tc>
        <w:tc>
          <w:tcPr>
            <w:tcW w:w="1980" w:type="dxa"/>
            <w:vAlign w:val="bottom"/>
            <w:tcBorders>
              <w:bottom w:val="single" w:sz="8" w:color="auto"/>
            </w:tcBorders>
          </w:tcPr>
          <w:p>
            <w:pPr xmlns:w="http://schemas.openxmlformats.org/wordprocessingml/2006/main">
              <w:ind w:left="100"/>
              <w:spacing w:after="0"/>
              <w:rPr>
                <w:sz w:val="20"/>
                <w:szCs w:val="20"/>
                <w:color w:val="auto"/>
              </w:rPr>
            </w:pPr>
            <w:r>
              <w:rPr xmlns:w="http://schemas.openxmlformats.org/wordprocessingml/2006/main">
                <w:rFonts w:ascii="Arial" w:cs="Arial" w:eastAsia="Arial" w:hAnsi="Arial"/>
                <w:sz w:val="16"/>
                <w:szCs w:val="16"/>
                <w:color w:val="auto"/>
              </w:rPr>
              <w:t xml:space="preserve">575 EUR</w:t>
            </w:r>
          </w:p>
        </w:tc>
      </w:tr>
      <w:tr>
        <w:trPr>
          <w:trHeight w:val="177"/>
        </w:trPr>
        <w:tc>
          <w:tcPr>
            <w:tcW w:w="686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Roczny wpływ na koszty (*)</w:t>
            </w:r>
          </w:p>
        </w:tc>
        <w:tc>
          <w:tcPr>
            <w:tcW w:w="1960" w:type="dxa"/>
            <w:vAlign w:val="bottom"/>
            <w:tcBorders>
              <w:bottom w:val="single" w:sz="8" w:color="auto"/>
            </w:tcBorders>
          </w:tcPr>
          <w:p>
            <w:pPr xmlns:w="http://schemas.openxmlformats.org/wordprocessingml/2006/main">
              <w:ind w:left="16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3,2%</w:t>
            </w:r>
          </w:p>
        </w:tc>
        <w:tc>
          <w:tcPr>
            <w:tcW w:w="1980" w:type="dxa"/>
            <w:vAlign w:val="bottom"/>
            <w:tcBorders>
              <w:bottom w:val="single" w:sz="8" w:color="auto"/>
            </w:tcBorders>
          </w:tcPr>
          <w:p>
            <w:pPr xmlns:w="http://schemas.openxmlformats.org/wordprocessingml/2006/main">
              <w:ind w:left="10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0.9%</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-702945</wp:posOffset>
            </wp:positionV>
            <wp:extent cx="71755" cy="7175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71755" cy="7175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-581025</wp:posOffset>
            </wp:positionV>
            <wp:extent cx="71755" cy="7175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71755" cy="71755"/>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-459740</wp:posOffset>
            </wp:positionV>
            <wp:extent cx="71755" cy="7175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0" w:right="40" w:hanging="8"/>
        <w:spacing w:after="0" w:line="254" w:lineRule="auto"/>
        <w:tabs>
          <w:tab w:leader="none" w:pos="246" w:val="left"/>
        </w:tabs>
        <w:numPr>
          <w:ilvl w:val="0"/>
          <w:numId w:val="2"/>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Pokazuje to, w jaki sposób koszty zmniejszają zwrot z inwestycji każdego roku w okresie utrzymywania.</w:t>
      </w:r>
      <w:r>
        <w:rPr xmlns:w="http://schemas.openxmlformats.org/wordprocessingml/2006/main">
          <w:rFonts w:ascii="Arial" w:cs="Arial" w:eastAsia="Arial" w:hAnsi="Arial"/>
          <w:sz w:val="16"/>
          <w:szCs w:val="16"/>
          <w:color w:val="auto"/>
        </w:rPr>
        <w:t xml:space="preserve"> Na przykład pokazuje to, że jeśli opuścisz zakład w zalecanym okresie utrzymywania, średni roczny zwrot z inwestycji wyniesie 7.5 % przed kosztami i 6.6 % po kosztach.</w:t>
      </w:r>
    </w:p>
    <w:p>
      <w:pPr xmlns:w="http://schemas.openxmlformats.org/wordprocessingml/2006/main">
        <w:ind w:left="20" w:right="40"/>
        <w:spacing w:after="0" w:line="250" w:lineRule="auto"/>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Możemy podzielić się częścią kosztów z osobą sprzedającą Ci produkt, aby pokryć usługi, które Ci świadczą.</w:t>
      </w:r>
      <w:r>
        <w:rPr xmlns:w="http://schemas.openxmlformats.org/wordprocessingml/2006/main">
          <w:rFonts w:ascii="Arial" w:cs="Arial" w:eastAsia="Arial" w:hAnsi="Arial"/>
          <w:sz w:val="16"/>
          <w:szCs w:val="16"/>
          <w:color w:val="auto"/>
        </w:rPr>
        <w:t xml:space="preserve"> Poinformują Cię o kwocie.</w:t>
      </w:r>
    </w:p>
    <w:p>
      <w:pPr>
        <w:spacing w:after="0" w:line="191" w:lineRule="exact"/>
        <w:rPr>
          <w:rFonts w:ascii="Arial" w:cs="Arial" w:eastAsia="Arial" w:hAnsi="Arial"/>
          <w:sz w:val="16"/>
          <w:szCs w:val="16"/>
          <w:color w:val="auto"/>
        </w:rPr>
      </w:pPr>
    </w:p>
    <w:p>
      <w:pPr xmlns:w="http://schemas.openxmlformats.org/wordprocessingml/2006/main">
        <w:ind w:left="20" w:right="40"/>
        <w:spacing w:after="0" w:line="249" w:lineRule="auto"/>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Dane te obejmują maksymalną opłatę za dystrybucję, którą może pobierać osoba sprzedająca produkt ( 2.0 % zainwestowanej kwoty/ 200 EUR).</w:t>
      </w:r>
      <w:r>
        <w:rPr xmlns:w="http://schemas.openxmlformats.org/wordprocessingml/2006/main">
          <w:rFonts w:ascii="Arial" w:cs="Arial" w:eastAsia="Arial" w:hAnsi="Arial"/>
          <w:sz w:val="16"/>
          <w:szCs w:val="16"/>
          <w:color w:val="auto"/>
        </w:rPr>
        <w:t xml:space="preserve"> Osoba ta poinformuje Cię o faktycznej opłacie za dystrybucję.</w:t>
      </w:r>
    </w:p>
    <w:p>
      <w:pPr>
        <w:spacing w:after="0" w:line="1" w:lineRule="exact"/>
        <w:rPr>
          <w:rFonts w:ascii="Arial" w:cs="Arial" w:eastAsia="Arial" w:hAnsi="Arial"/>
          <w:sz w:val="16"/>
          <w:szCs w:val="16"/>
          <w:color w:val="auto"/>
        </w:rPr>
      </w:pPr>
    </w:p>
    <w:p>
      <w:pPr xmlns:w="http://schemas.openxmlformats.org/wordprocessingml/2006/main">
        <w:ind w:left="40"/>
        <w:spacing w:after="0"/>
        <w:rPr>
          <w:rFonts w:ascii="Arial" w:cs="Arial" w:eastAsia="Arial" w:hAnsi="Arial"/>
          <w:sz w:val="16"/>
          <w:szCs w:val="16"/>
          <w:color w:val="auto"/>
        </w:rPr>
      </w:pPr>
      <w:r>
        <w:rPr xmlns:w="http://schemas.openxmlformats.org/wordprocessingml/2006/main">
          <w:rFonts w:ascii="Arial" w:cs="Arial" w:eastAsia="Arial" w:hAnsi="Arial"/>
          <w:sz w:val="16"/>
          <w:szCs w:val="16"/>
          <w:b w:val="1"/>
          <w:bCs w:val="1"/>
          <w:color w:val="FFFFFF"/>
        </w:rPr>
        <w:t xml:space="preserve">Struktura kosztów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-130175</wp:posOffset>
            </wp:positionV>
            <wp:extent cx="6840220" cy="37465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6840220" cy="374650"/>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192"/>
        </w:trPr>
        <w:tc>
          <w:tcPr>
            <w:tcW w:w="1980" w:type="dxa"/>
            <w:vAlign w:val="bottom"/>
          </w:tcPr>
          <w:p>
            <w:pPr>
              <w:spacing w:after="0"/>
              <w:rPr>
                <w:sz w:val="16"/>
                <w:szCs w:val="16"/>
                <w:color w:val="auto"/>
              </w:rPr>
            </w:pPr>
          </w:p>
        </w:tc>
        <w:tc>
          <w:tcPr>
            <w:tcW w:w="7160" w:type="dxa"/>
            <w:vAlign w:val="bottom"/>
          </w:tcPr>
          <w:p>
            <w:pPr>
              <w:spacing w:after="0"/>
              <w:rPr>
                <w:sz w:val="16"/>
                <w:szCs w:val="16"/>
                <w:color w:val="auto"/>
              </w:rPr>
            </w:pPr>
          </w:p>
        </w:tc>
        <w:tc>
          <w:tcPr>
            <w:tcW w:w="166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Jeśli wyjdziesz po 1</w:t>
            </w:r>
          </w:p>
        </w:tc>
      </w:tr>
      <w:tr>
        <w:trPr>
          <w:trHeight w:val="176"/>
        </w:trPr>
        <w:tc>
          <w:tcPr>
            <w:tcW w:w="9140" w:type="dxa"/>
            <w:vAlign w:val="bottom"/>
            <w:tcBorders>
              <w:bottom w:val="single" w:sz="8" w:color="auto"/>
            </w:tcBorders>
            <w:gridSpan w:val="2"/>
          </w:tcPr>
          <w:p>
            <w:pPr xmlns:w="http://schemas.openxmlformats.org/wordprocessingml/2006/main">
              <w:ind w:left="4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Jednorazowe koszty przy wjeździe lub wyjeździe</w:t>
            </w:r>
          </w:p>
        </w:tc>
        <w:tc>
          <w:tcPr>
            <w:tcW w:w="1660" w:type="dxa"/>
            <w:vAlign w:val="bottom"/>
            <w:tcBorders>
              <w:bottom w:val="single" w:sz="8" w:color="auto"/>
            </w:tcBorders>
          </w:tcPr>
          <w:p>
            <w:pPr xmlns:w="http://schemas.openxmlformats.org/wordprocessingml/2006/main">
              <w:ind w:left="6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rok</w:t>
            </w:r>
          </w:p>
        </w:tc>
      </w:tr>
      <w:tr>
        <w:trPr>
          <w:trHeight w:val="204"/>
        </w:trPr>
        <w:tc>
          <w:tcPr>
            <w:tcW w:w="19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Koszty wejścia</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2.00% kwoty, którą płacisz.</w:t>
            </w:r>
            <w:r>
              <w:rPr xmlns:w="http://schemas.openxmlformats.org/wordprocessingml/2006/main">
                <w:rFonts w:ascii="Arial" w:cs="Arial" w:eastAsia="Arial" w:hAnsi="Arial"/>
                <w:sz w:val="16"/>
                <w:szCs w:val="16"/>
                <w:color w:val="auto"/>
              </w:rPr>
              <w:t xml:space="preserve"> To jest najwyższa opłata.</w:t>
            </w:r>
            <w:r>
              <w:rPr xmlns:w="http://schemas.openxmlformats.org/wordprocessingml/2006/main">
                <w:rFonts w:ascii="Arial" w:cs="Arial" w:eastAsia="Arial" w:hAnsi="Arial"/>
                <w:sz w:val="16"/>
                <w:szCs w:val="16"/>
                <w:color w:val="auto"/>
              </w:rPr>
              <w:t xml:space="preserve"> Osoba sprzedająca</w:t>
            </w:r>
          </w:p>
        </w:tc>
        <w:tc>
          <w:tcPr>
            <w:tcW w:w="166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200 EUR</w:t>
            </w:r>
          </w:p>
        </w:tc>
      </w:tr>
      <w:tr>
        <w:trPr>
          <w:trHeight w:val="192"/>
        </w:trPr>
        <w:tc>
          <w:tcPr>
            <w:tcW w:w="1980" w:type="dxa"/>
            <w:vAlign w:val="bottom"/>
          </w:tcPr>
          <w:p>
            <w:pPr>
              <w:spacing w:after="0"/>
              <w:rPr>
                <w:sz w:val="16"/>
                <w:szCs w:val="16"/>
                <w:color w:val="auto"/>
              </w:rPr>
            </w:pP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Produkt poinformuje Cię o faktycznej opłacie.</w:t>
            </w:r>
            <w:r>
              <w:rPr xmlns:w="http://schemas.openxmlformats.org/wordprocessingml/2006/main">
                <w:rFonts w:ascii="Arial" w:cs="Arial" w:eastAsia="Arial" w:hAnsi="Arial"/>
                <w:sz w:val="16"/>
                <w:szCs w:val="16"/>
                <w:color w:val="auto"/>
              </w:rPr>
              <w:t xml:space="preserve"> Nie dotyczy rynku wtórnego</w:t>
            </w:r>
          </w:p>
        </w:tc>
        <w:tc>
          <w:tcPr>
            <w:tcW w:w="1660" w:type="dxa"/>
            <w:vAlign w:val="bottom"/>
          </w:tcPr>
          <w:p>
            <w:pPr>
              <w:spacing w:after="0"/>
              <w:rPr>
                <w:sz w:val="16"/>
                <w:szCs w:val="16"/>
                <w:color w:val="auto"/>
              </w:rPr>
            </w:pPr>
          </w:p>
        </w:tc>
      </w:tr>
      <w:tr>
        <w:trPr>
          <w:trHeight w:val="190"/>
        </w:trPr>
        <w:tc>
          <w:tcPr>
            <w:tcW w:w="1980" w:type="dxa"/>
            <w:vAlign w:val="bottom"/>
          </w:tcPr>
          <w:p>
            <w:pPr>
              <w:spacing w:after="0"/>
              <w:rPr>
                <w:sz w:val="16"/>
                <w:szCs w:val="16"/>
                <w:color w:val="auto"/>
              </w:rPr>
            </w:pP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inwestorów.</w:t>
            </w:r>
            <w:r>
              <w:rPr xmlns:w="http://schemas.openxmlformats.org/wordprocessingml/2006/main">
                <w:rFonts w:ascii="Arial" w:cs="Arial" w:eastAsia="Arial" w:hAnsi="Arial"/>
                <w:sz w:val="16"/>
                <w:szCs w:val="16"/>
                <w:color w:val="auto"/>
              </w:rPr>
              <w:t xml:space="preserve"> Inwestorzy prowadzący obrót poprzez giełdy będą ponosić opłaty pobierane przez maklerów giełdowych.</w:t>
            </w:r>
          </w:p>
        </w:tc>
        <w:tc>
          <w:tcPr>
            <w:tcW w:w="1660" w:type="dxa"/>
            <w:vAlign w:val="bottom"/>
          </w:tcPr>
          <w:p>
            <w:pPr>
              <w:spacing w:after="0"/>
              <w:rPr>
                <w:sz w:val="16"/>
                <w:szCs w:val="16"/>
                <w:color w:val="auto"/>
              </w:rPr>
            </w:pPr>
          </w:p>
        </w:tc>
      </w:tr>
      <w:tr>
        <w:trPr>
          <w:trHeight w:val="194"/>
        </w:trPr>
        <w:tc>
          <w:tcPr>
            <w:tcW w:w="1980" w:type="dxa"/>
            <w:vAlign w:val="bottom"/>
          </w:tcPr>
          <w:p>
            <w:pPr>
              <w:spacing w:after="0"/>
              <w:rPr>
                <w:sz w:val="16"/>
                <w:szCs w:val="16"/>
                <w:color w:val="auto"/>
              </w:rPr>
            </w:pP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Takie opłaty można uzyskać na giełdach, na których akcje są notowane i znajdują się w obrocie, lub od</w:t>
            </w:r>
          </w:p>
        </w:tc>
        <w:tc>
          <w:tcPr>
            <w:tcW w:w="1660" w:type="dxa"/>
            <w:vAlign w:val="bottom"/>
          </w:tcPr>
          <w:p>
            <w:pPr>
              <w:spacing w:after="0"/>
              <w:rPr>
                <w:sz w:val="16"/>
                <w:szCs w:val="16"/>
                <w:color w:val="auto"/>
              </w:rPr>
            </w:pPr>
          </w:p>
        </w:tc>
      </w:tr>
      <w:tr>
        <w:trPr>
          <w:trHeight w:val="192"/>
        </w:trPr>
        <w:tc>
          <w:tcPr>
            <w:tcW w:w="1980" w:type="dxa"/>
            <w:vAlign w:val="bottom"/>
          </w:tcPr>
          <w:p>
            <w:pPr>
              <w:spacing w:after="0"/>
              <w:rPr>
                <w:sz w:val="16"/>
                <w:szCs w:val="16"/>
                <w:color w:val="auto"/>
              </w:rPr>
            </w:pP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maklerów giełdowych.</w:t>
            </w:r>
            <w:r>
              <w:rPr xmlns:w="http://schemas.openxmlformats.org/wordprocessingml/2006/main">
                <w:rFonts w:ascii="Arial" w:cs="Arial" w:eastAsia="Arial" w:hAnsi="Arial"/>
                <w:sz w:val="16"/>
                <w:szCs w:val="16"/>
                <w:color w:val="auto"/>
              </w:rPr>
              <w:t xml:space="preserve"> Upoważnieni uczestnicy mający bezpośredni kontakt z Funduszem lub</w:t>
            </w:r>
          </w:p>
        </w:tc>
        <w:tc>
          <w:tcPr>
            <w:tcW w:w="1660" w:type="dxa"/>
            <w:vAlign w:val="bottom"/>
          </w:tcPr>
          <w:p>
            <w:pPr>
              <w:spacing w:after="0"/>
              <w:rPr>
                <w:sz w:val="16"/>
                <w:szCs w:val="16"/>
                <w:color w:val="auto"/>
              </w:rPr>
            </w:pPr>
          </w:p>
        </w:tc>
      </w:tr>
      <w:tr>
        <w:trPr>
          <w:trHeight w:val="174"/>
        </w:trPr>
        <w:tc>
          <w:tcPr>
            <w:tcW w:w="1980" w:type="dxa"/>
            <w:vAlign w:val="bottom"/>
            <w:tcBorders>
              <w:bottom w:val="single" w:sz="8" w:color="auto"/>
            </w:tcBorders>
          </w:tcPr>
          <w:p>
            <w:pPr>
              <w:spacing w:after="0"/>
              <w:rPr>
                <w:sz w:val="15"/>
                <w:szCs w:val="15"/>
                <w:color w:val="auto"/>
              </w:rPr>
            </w:pPr>
          </w:p>
        </w:tc>
        <w:tc>
          <w:tcPr>
            <w:tcW w:w="7160" w:type="dxa"/>
            <w:vAlign w:val="bottom"/>
            <w:tcBorders>
              <w:bottom w:val="single" w:sz="8" w:color="auto"/>
            </w:tcBorders>
          </w:tcPr>
          <w:p>
            <w:pPr xmlns:w="http://schemas.openxmlformats.org/wordprocessingml/2006/main">
              <w:ind w:left="220"/>
              <w:spacing w:after="0" w:line="174" w:lineRule="exact"/>
              <w:rPr>
                <w:sz w:val="20"/>
                <w:szCs w:val="20"/>
                <w:color w:val="auto"/>
              </w:rPr>
            </w:pPr>
            <w:r>
              <w:rPr xmlns:w="http://schemas.openxmlformats.org/wordprocessingml/2006/main">
                <w:rFonts w:ascii="Arial" w:cs="Arial" w:eastAsia="Arial" w:hAnsi="Arial"/>
                <w:sz w:val="16"/>
                <w:szCs w:val="16"/>
                <w:color w:val="auto"/>
              </w:rPr>
              <w:t xml:space="preserve">Firma pokryje związane z tym koszty transakcyjne.</w:t>
            </w:r>
          </w:p>
        </w:tc>
        <w:tc>
          <w:tcPr>
            <w:tcW w:w="1660" w:type="dxa"/>
            <w:vAlign w:val="bottom"/>
            <w:tcBorders>
              <w:bottom w:val="single" w:sz="8" w:color="auto"/>
            </w:tcBorders>
          </w:tcPr>
          <w:p>
            <w:pPr>
              <w:spacing w:after="0"/>
              <w:rPr>
                <w:sz w:val="15"/>
                <w:szCs w:val="15"/>
                <w:color w:val="auto"/>
              </w:rPr>
            </w:pPr>
          </w:p>
        </w:tc>
      </w:tr>
      <w:tr>
        <w:trPr>
          <w:trHeight w:val="194"/>
        </w:trPr>
        <w:tc>
          <w:tcPr>
            <w:tcW w:w="19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Koszty wyjścia</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1.00% inwestycji przed jej wypłaceniem.</w:t>
            </w:r>
            <w:r>
              <w:rPr xmlns:w="http://schemas.openxmlformats.org/wordprocessingml/2006/main">
                <w:rFonts w:ascii="Arial" w:cs="Arial" w:eastAsia="Arial" w:hAnsi="Arial"/>
                <w:sz w:val="16"/>
                <w:szCs w:val="16"/>
                <w:color w:val="auto"/>
              </w:rPr>
              <w:t xml:space="preserve"> To jest najwyższa opłata.</w:t>
            </w:r>
          </w:p>
        </w:tc>
        <w:tc>
          <w:tcPr>
            <w:tcW w:w="166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100 EUR</w:t>
            </w:r>
          </w:p>
        </w:tc>
      </w:tr>
      <w:tr>
        <w:trPr>
          <w:trHeight w:val="192"/>
        </w:trPr>
        <w:tc>
          <w:tcPr>
            <w:tcW w:w="1980" w:type="dxa"/>
            <w:vAlign w:val="bottom"/>
          </w:tcPr>
          <w:p>
            <w:pPr>
              <w:spacing w:after="0"/>
              <w:rPr>
                <w:sz w:val="16"/>
                <w:szCs w:val="16"/>
                <w:color w:val="auto"/>
              </w:rPr>
            </w:pP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Osoba sprzedająca produkt poinformuje Cię o faktycznej opłacie.</w:t>
            </w:r>
            <w:r>
              <w:rPr xmlns:w="http://schemas.openxmlformats.org/wordprocessingml/2006/main">
                <w:rFonts w:ascii="Arial" w:cs="Arial" w:eastAsia="Arial" w:hAnsi="Arial"/>
                <w:sz w:val="16"/>
                <w:szCs w:val="16"/>
                <w:color w:val="auto"/>
              </w:rPr>
              <w:t xml:space="preserve"> Nie dotyczy</w:t>
            </w:r>
          </w:p>
        </w:tc>
        <w:tc>
          <w:tcPr>
            <w:tcW w:w="1660" w:type="dxa"/>
            <w:vAlign w:val="bottom"/>
          </w:tcPr>
          <w:p>
            <w:pPr>
              <w:spacing w:after="0"/>
              <w:rPr>
                <w:sz w:val="16"/>
                <w:szCs w:val="16"/>
                <w:color w:val="auto"/>
              </w:rPr>
            </w:pPr>
          </w:p>
        </w:tc>
      </w:tr>
      <w:tr>
        <w:trPr>
          <w:trHeight w:val="190"/>
        </w:trPr>
        <w:tc>
          <w:tcPr>
            <w:tcW w:w="1980" w:type="dxa"/>
            <w:vAlign w:val="bottom"/>
          </w:tcPr>
          <w:p>
            <w:pPr>
              <w:spacing w:after="0"/>
              <w:rPr>
                <w:sz w:val="16"/>
                <w:szCs w:val="16"/>
                <w:color w:val="auto"/>
              </w:rPr>
            </w:pP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inwestorów rynku wtórnego.</w:t>
            </w:r>
            <w:r>
              <w:rPr xmlns:w="http://schemas.openxmlformats.org/wordprocessingml/2006/main">
                <w:rFonts w:ascii="Arial" w:cs="Arial" w:eastAsia="Arial" w:hAnsi="Arial"/>
                <w:sz w:val="16"/>
                <w:szCs w:val="16"/>
                <w:color w:val="auto"/>
              </w:rPr>
              <w:t xml:space="preserve"> Inwestorzy prowadzący transakcje za pośrednictwem giełd</w:t>
            </w:r>
          </w:p>
        </w:tc>
        <w:tc>
          <w:tcPr>
            <w:tcW w:w="1660" w:type="dxa"/>
            <w:vAlign w:val="bottom"/>
          </w:tcPr>
          <w:p>
            <w:pPr>
              <w:spacing w:after="0"/>
              <w:rPr>
                <w:sz w:val="16"/>
                <w:szCs w:val="16"/>
                <w:color w:val="auto"/>
              </w:rPr>
            </w:pPr>
          </w:p>
        </w:tc>
      </w:tr>
      <w:tr>
        <w:trPr>
          <w:trHeight w:val="194"/>
        </w:trPr>
        <w:tc>
          <w:tcPr>
            <w:tcW w:w="1980" w:type="dxa"/>
            <w:vAlign w:val="bottom"/>
          </w:tcPr>
          <w:p>
            <w:pPr>
              <w:spacing w:after="0"/>
              <w:rPr>
                <w:sz w:val="16"/>
                <w:szCs w:val="16"/>
                <w:color w:val="auto"/>
              </w:rPr>
            </w:pP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maklerów giełdowych.</w:t>
            </w:r>
            <w:r>
              <w:rPr xmlns:w="http://schemas.openxmlformats.org/wordprocessingml/2006/main">
                <w:rFonts w:ascii="Arial" w:cs="Arial" w:eastAsia="Arial" w:hAnsi="Arial"/>
                <w:sz w:val="16"/>
                <w:szCs w:val="16"/>
                <w:color w:val="auto"/>
              </w:rPr>
              <w:t xml:space="preserve"> Takie opłaty można uzyskać na giełdach, na których akcje są notowane, oraz</w:t>
            </w:r>
          </w:p>
        </w:tc>
        <w:tc>
          <w:tcPr>
            <w:tcW w:w="1660" w:type="dxa"/>
            <w:vAlign w:val="bottom"/>
          </w:tcPr>
          <w:p>
            <w:pPr>
              <w:spacing w:after="0"/>
              <w:rPr>
                <w:sz w:val="16"/>
                <w:szCs w:val="16"/>
                <w:color w:val="auto"/>
              </w:rPr>
            </w:pPr>
          </w:p>
        </w:tc>
      </w:tr>
      <w:tr>
        <w:trPr>
          <w:trHeight w:val="192"/>
        </w:trPr>
        <w:tc>
          <w:tcPr>
            <w:tcW w:w="1980" w:type="dxa"/>
            <w:vAlign w:val="bottom"/>
          </w:tcPr>
          <w:p>
            <w:pPr>
              <w:spacing w:after="0"/>
              <w:rPr>
                <w:sz w:val="16"/>
                <w:szCs w:val="16"/>
                <w:color w:val="auto"/>
              </w:rPr>
            </w:pP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lub od maklerów giełdowych.</w:t>
            </w:r>
            <w:r>
              <w:rPr xmlns:w="http://schemas.openxmlformats.org/wordprocessingml/2006/main">
                <w:rFonts w:ascii="Arial" w:cs="Arial" w:eastAsia="Arial" w:hAnsi="Arial"/>
                <w:sz w:val="16"/>
                <w:szCs w:val="16"/>
                <w:color w:val="auto"/>
              </w:rPr>
              <w:t xml:space="preserve"> Upoważnieni uczestnicy mający bezpośredni kontakt z Funduszem lub</w:t>
            </w:r>
          </w:p>
        </w:tc>
        <w:tc>
          <w:tcPr>
            <w:tcW w:w="1660" w:type="dxa"/>
            <w:vAlign w:val="bottom"/>
          </w:tcPr>
          <w:p>
            <w:pPr>
              <w:spacing w:after="0"/>
              <w:rPr>
                <w:sz w:val="16"/>
                <w:szCs w:val="16"/>
                <w:color w:val="auto"/>
              </w:rPr>
            </w:pPr>
          </w:p>
        </w:tc>
      </w:tr>
      <w:tr>
        <w:trPr>
          <w:trHeight w:val="174"/>
        </w:trPr>
        <w:tc>
          <w:tcPr>
            <w:tcW w:w="1980" w:type="dxa"/>
            <w:vAlign w:val="bottom"/>
          </w:tcPr>
          <w:p>
            <w:pPr>
              <w:spacing w:after="0"/>
              <w:rPr>
                <w:sz w:val="15"/>
                <w:szCs w:val="15"/>
                <w:color w:val="auto"/>
              </w:rPr>
            </w:pPr>
          </w:p>
        </w:tc>
        <w:tc>
          <w:tcPr>
            <w:tcW w:w="7160" w:type="dxa"/>
            <w:vAlign w:val="bottom"/>
          </w:tcPr>
          <w:p>
            <w:pPr xmlns:w="http://schemas.openxmlformats.org/wordprocessingml/2006/main">
              <w:ind w:left="220"/>
              <w:spacing w:after="0" w:line="175" w:lineRule="exact"/>
              <w:rPr>
                <w:sz w:val="20"/>
                <w:szCs w:val="20"/>
                <w:color w:val="auto"/>
              </w:rPr>
            </w:pPr>
            <w:r>
              <w:rPr xmlns:w="http://schemas.openxmlformats.org/wordprocessingml/2006/main">
                <w:rFonts w:ascii="Arial" w:cs="Arial" w:eastAsia="Arial" w:hAnsi="Arial"/>
                <w:sz w:val="16"/>
                <w:szCs w:val="16"/>
                <w:color w:val="auto"/>
              </w:rPr>
              <w:t xml:space="preserve">Spółka zarządzająca pokryje związane z tym koszty transakcji.</w:t>
            </w:r>
          </w:p>
        </w:tc>
        <w:tc>
          <w:tcPr>
            <w:tcW w:w="1660" w:type="dxa"/>
            <w:vAlign w:val="bottom"/>
          </w:tcPr>
          <w:p>
            <w:pPr>
              <w:spacing w:after="0"/>
              <w:rPr>
                <w:sz w:val="15"/>
                <w:szCs w:val="15"/>
                <w:color w:val="auto"/>
              </w:rPr>
            </w:pPr>
          </w:p>
        </w:tc>
      </w:tr>
      <w:tr>
        <w:trPr>
          <w:trHeight w:val="206"/>
        </w:trPr>
        <w:tc>
          <w:tcPr>
            <w:tcW w:w="9140" w:type="dxa"/>
            <w:vAlign w:val="bottom"/>
            <w:gridSpan w:val="2"/>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Koszty bieżące ponoszone każdego roku</w:t>
            </w:r>
          </w:p>
        </w:tc>
        <w:tc>
          <w:tcPr>
            <w:tcW w:w="1660" w:type="dxa"/>
            <w:vAlign w:val="bottom"/>
            <w:shd w:val="clear" w:color="auto" w:fill="000000"/>
          </w:tcPr>
          <w:p>
            <w:pPr>
              <w:spacing w:after="0"/>
              <w:rPr>
                <w:sz w:val="17"/>
                <w:szCs w:val="17"/>
                <w:color w:val="auto"/>
              </w:rPr>
            </w:pPr>
          </w:p>
        </w:tc>
      </w:tr>
      <w:tr>
        <w:trPr>
          <w:trHeight w:val="209"/>
        </w:trPr>
        <w:tc>
          <w:tcPr>
            <w:tcW w:w="19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Opłaty za zarządzanie i</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0.20% wartości inwestycji rocznie.</w:t>
            </w:r>
            <w:r>
              <w:rPr xmlns:w="http://schemas.openxmlformats.org/wordprocessingml/2006/main">
                <w:rFonts w:ascii="Arial" w:cs="Arial" w:eastAsia="Arial" w:hAnsi="Arial"/>
                <w:sz w:val="16"/>
                <w:szCs w:val="16"/>
                <w:color w:val="auto"/>
              </w:rPr>
              <w:t xml:space="preserve"> Jest to oparte na kombinacji szacunkowych wartości</w:t>
            </w:r>
          </w:p>
        </w:tc>
        <w:tc>
          <w:tcPr>
            <w:tcW w:w="166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20 EUR</w:t>
            </w:r>
          </w:p>
        </w:tc>
      </w:tr>
      <w:tr>
        <w:trPr>
          <w:trHeight w:val="190"/>
        </w:trPr>
        <w:tc>
          <w:tcPr>
            <w:tcW w:w="19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innego rodzaju</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oraz dane dotyczące rzeczywistych kosztów w ciągu ostatniego roku.</w:t>
            </w:r>
            <w:r>
              <w:rPr xmlns:w="http://schemas.openxmlformats.org/wordprocessingml/2006/main">
                <w:rFonts w:ascii="Arial" w:cs="Arial" w:eastAsia="Arial" w:hAnsi="Arial"/>
                <w:sz w:val="16"/>
                <w:szCs w:val="16"/>
                <w:color w:val="auto"/>
              </w:rPr>
              <w:t xml:space="preserve"> Wszelkie koszty związane z produktem są uwzględnione w tym miejscu</w:t>
            </w:r>
          </w:p>
        </w:tc>
        <w:tc>
          <w:tcPr>
            <w:tcW w:w="1660" w:type="dxa"/>
            <w:vAlign w:val="bottom"/>
          </w:tcPr>
          <w:p>
            <w:pPr>
              <w:spacing w:after="0"/>
              <w:rPr>
                <w:sz w:val="16"/>
                <w:szCs w:val="16"/>
                <w:color w:val="auto"/>
              </w:rPr>
            </w:pPr>
          </w:p>
        </w:tc>
      </w:tr>
      <w:tr>
        <w:trPr>
          <w:trHeight w:val="192"/>
        </w:trPr>
        <w:tc>
          <w:tcPr>
            <w:tcW w:w="19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koszty operacyjne</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z wyjątkiem kosztów transakcyjnych, które zostałyby ujęte poniżej w pozycji "Transakcja</w:t>
            </w:r>
          </w:p>
        </w:tc>
        <w:tc>
          <w:tcPr>
            <w:tcW w:w="1660" w:type="dxa"/>
            <w:vAlign w:val="bottom"/>
          </w:tcPr>
          <w:p>
            <w:pPr>
              <w:spacing w:after="0"/>
              <w:rPr>
                <w:sz w:val="16"/>
                <w:szCs w:val="16"/>
                <w:color w:val="auto"/>
              </w:rPr>
            </w:pPr>
          </w:p>
        </w:tc>
      </w:tr>
      <w:tr>
        <w:trPr>
          <w:trHeight w:val="176"/>
        </w:trPr>
        <w:tc>
          <w:tcPr>
            <w:tcW w:w="1980" w:type="dxa"/>
            <w:vAlign w:val="bottom"/>
            <w:tcBorders>
              <w:bottom w:val="single" w:sz="8" w:color="auto"/>
            </w:tcBorders>
          </w:tcPr>
          <w:p>
            <w:pPr>
              <w:spacing w:after="0"/>
              <w:rPr>
                <w:sz w:val="15"/>
                <w:szCs w:val="15"/>
                <w:color w:val="auto"/>
              </w:rPr>
            </w:pPr>
          </w:p>
        </w:tc>
        <w:tc>
          <w:tcPr>
            <w:tcW w:w="7160" w:type="dxa"/>
            <w:vAlign w:val="bottom"/>
            <w:tcBorders>
              <w:bottom w:val="single" w:sz="8" w:color="auto"/>
            </w:tcBorders>
          </w:tcPr>
          <w:p>
            <w:pPr xmlns:w="http://schemas.openxmlformats.org/wordprocessingml/2006/main">
              <w:ind w:left="220"/>
              <w:spacing w:after="0" w:line="176" w:lineRule="exact"/>
              <w:rPr>
                <w:sz w:val="20"/>
                <w:szCs w:val="20"/>
                <w:color w:val="auto"/>
              </w:rPr>
            </w:pPr>
            <w:r>
              <w:rPr xmlns:w="http://schemas.openxmlformats.org/wordprocessingml/2006/main">
                <w:rFonts w:ascii="Arial" w:cs="Arial" w:eastAsia="Arial" w:hAnsi="Arial"/>
                <w:sz w:val="16"/>
                <w:szCs w:val="16"/>
                <w:color w:val="auto"/>
              </w:rPr>
              <w:t xml:space="preserve">koszty".</w:t>
            </w:r>
          </w:p>
        </w:tc>
        <w:tc>
          <w:tcPr>
            <w:tcW w:w="1660" w:type="dxa"/>
            <w:vAlign w:val="bottom"/>
            <w:tcBorders>
              <w:bottom w:val="single" w:sz="8" w:color="auto"/>
            </w:tcBorders>
          </w:tcPr>
          <w:p>
            <w:pPr>
              <w:spacing w:after="0"/>
              <w:rPr>
                <w:sz w:val="15"/>
                <w:szCs w:val="15"/>
                <w:color w:val="auto"/>
              </w:rPr>
            </w:pPr>
          </w:p>
        </w:tc>
      </w:tr>
      <w:tr>
        <w:trPr>
          <w:trHeight w:val="192"/>
        </w:trPr>
        <w:tc>
          <w:tcPr>
            <w:tcW w:w="1980" w:type="dxa"/>
            <w:vAlign w:val="bottom"/>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Koszty transakcyjne</w:t>
            </w: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0.02% wartości inwestycji rocznie.</w:t>
            </w:r>
            <w:r>
              <w:rPr xmlns:w="http://schemas.openxmlformats.org/wordprocessingml/2006/main">
                <w:rFonts w:ascii="Arial" w:cs="Arial" w:eastAsia="Arial" w:hAnsi="Arial"/>
                <w:sz w:val="16"/>
                <w:szCs w:val="16"/>
                <w:color w:val="auto"/>
              </w:rPr>
              <w:t xml:space="preserve"> Jest to szacunek poniesionych kosztów</w:t>
            </w:r>
          </w:p>
        </w:tc>
        <w:tc>
          <w:tcPr>
            <w:tcW w:w="1660" w:type="dxa"/>
            <w:vAlign w:val="bottom"/>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2 EUR</w:t>
            </w:r>
          </w:p>
        </w:tc>
      </w:tr>
      <w:tr>
        <w:trPr>
          <w:trHeight w:val="192"/>
        </w:trPr>
        <w:tc>
          <w:tcPr>
            <w:tcW w:w="1980" w:type="dxa"/>
            <w:vAlign w:val="bottom"/>
          </w:tcPr>
          <w:p>
            <w:pPr>
              <w:spacing w:after="0"/>
              <w:rPr>
                <w:sz w:val="16"/>
                <w:szCs w:val="16"/>
                <w:color w:val="auto"/>
              </w:rPr>
            </w:pPr>
          </w:p>
        </w:tc>
        <w:tc>
          <w:tcPr>
            <w:tcW w:w="716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gdy kupujemy i sprzedajemy inwestycje bazowe dla produktu.</w:t>
            </w:r>
            <w:r>
              <w:rPr xmlns:w="http://schemas.openxmlformats.org/wordprocessingml/2006/main">
                <w:rFonts w:ascii="Arial" w:cs="Arial" w:eastAsia="Arial" w:hAnsi="Arial"/>
                <w:sz w:val="16"/>
                <w:szCs w:val="16"/>
                <w:color w:val="auto"/>
              </w:rPr>
              <w:t xml:space="preserve"> Rzeczywista kwota</w:t>
            </w:r>
          </w:p>
        </w:tc>
        <w:tc>
          <w:tcPr>
            <w:tcW w:w="1660" w:type="dxa"/>
            <w:vAlign w:val="bottom"/>
          </w:tcPr>
          <w:p>
            <w:pPr>
              <w:spacing w:after="0"/>
              <w:rPr>
                <w:sz w:val="16"/>
                <w:szCs w:val="16"/>
                <w:color w:val="auto"/>
              </w:rPr>
            </w:pPr>
          </w:p>
        </w:tc>
      </w:tr>
      <w:tr>
        <w:trPr>
          <w:trHeight w:val="176"/>
        </w:trPr>
        <w:tc>
          <w:tcPr>
            <w:tcW w:w="1980" w:type="dxa"/>
            <w:vAlign w:val="bottom"/>
          </w:tcPr>
          <w:p>
            <w:pPr>
              <w:spacing w:after="0"/>
              <w:rPr>
                <w:sz w:val="15"/>
                <w:szCs w:val="15"/>
                <w:color w:val="auto"/>
              </w:rPr>
            </w:pPr>
          </w:p>
        </w:tc>
        <w:tc>
          <w:tcPr>
            <w:tcW w:w="7160" w:type="dxa"/>
            <w:vAlign w:val="bottom"/>
          </w:tcPr>
          <w:p>
            <w:pPr xmlns:w="http://schemas.openxmlformats.org/wordprocessingml/2006/main">
              <w:ind w:left="220"/>
              <w:spacing w:after="0" w:line="176" w:lineRule="exact"/>
              <w:rPr>
                <w:sz w:val="20"/>
                <w:szCs w:val="20"/>
                <w:color w:val="auto"/>
              </w:rPr>
            </w:pPr>
            <w:r>
              <w:rPr xmlns:w="http://schemas.openxmlformats.org/wordprocessingml/2006/main">
                <w:rFonts w:ascii="Arial" w:cs="Arial" w:eastAsia="Arial" w:hAnsi="Arial"/>
                <w:sz w:val="16"/>
                <w:szCs w:val="16"/>
                <w:color w:val="auto"/>
              </w:rPr>
              <w:t xml:space="preserve">Zależy od tego, ile kupujemy i sprzedajemy.</w:t>
            </w:r>
          </w:p>
        </w:tc>
        <w:tc>
          <w:tcPr>
            <w:tcW w:w="1660" w:type="dxa"/>
            <w:vAlign w:val="bottom"/>
          </w:tcPr>
          <w:p>
            <w:pPr>
              <w:spacing w:after="0"/>
              <w:rPr>
                <w:sz w:val="15"/>
                <w:szCs w:val="15"/>
                <w:color w:val="auto"/>
              </w:rPr>
            </w:pPr>
          </w:p>
        </w:tc>
      </w:tr>
      <w:tr>
        <w:trPr>
          <w:trHeight w:val="207"/>
        </w:trPr>
        <w:tc>
          <w:tcPr>
            <w:tcW w:w="9140" w:type="dxa"/>
            <w:vAlign w:val="bottom"/>
            <w:gridSpan w:val="2"/>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Koszty uboczne ponoszone na określonych warunkach</w:t>
            </w:r>
          </w:p>
        </w:tc>
        <w:tc>
          <w:tcPr>
            <w:tcW w:w="1660" w:type="dxa"/>
            <w:vAlign w:val="bottom"/>
            <w:shd w:val="clear" w:color="auto" w:fill="000000"/>
          </w:tcPr>
          <w:p>
            <w:pPr>
              <w:spacing w:after="0"/>
              <w:rPr>
                <w:sz w:val="17"/>
                <w:szCs w:val="17"/>
                <w:color w:val="auto"/>
              </w:rPr>
            </w:pPr>
          </w:p>
        </w:tc>
      </w:tr>
      <w:tr>
        <w:trPr>
          <w:trHeight w:val="192"/>
        </w:trPr>
        <w:tc>
          <w:tcPr>
            <w:tcW w:w="19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Opłaty za wyniki</w:t>
            </w:r>
          </w:p>
        </w:tc>
        <w:tc>
          <w:tcPr>
            <w:tcW w:w="716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auto"/>
              </w:rPr>
              <w:t xml:space="preserve">Brak opłaty za wydajność dla tego produktu.</w:t>
            </w:r>
          </w:p>
        </w:tc>
        <w:tc>
          <w:tcPr>
            <w:tcW w:w="1660" w:type="dxa"/>
            <w:vAlign w:val="bottom"/>
            <w:tcBorders>
              <w:bottom w:val="single" w:sz="8" w:color="auto"/>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auto"/>
              </w:rPr>
              <w:t xml:space="preserve">-</w:t>
            </w:r>
          </w:p>
        </w:tc>
      </w:tr>
    </w:tbl>
    <w:p>
      <w:pPr>
        <w:spacing w:after="0" w:line="55"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Jak długo powinienem go trzymać i czy mogę wcześnie zabrać pieniądze?</w:t>
      </w:r>
      <w:r>
        <w:rPr xmlns:w="http://schemas.openxmlformats.org/wordprocessingml/2006/main">
          <w:rFonts w:ascii="Arial" w:cs="Arial" w:eastAsia="Arial" w:hAnsi="Arial"/>
          <w:sz w:val="18"/>
          <w:szCs w:val="18"/>
          <w:b w:val="1"/>
          <w:bCs w:val="1"/>
          <w:color w:val="auto"/>
          <w:shd w:val="clear" w:color="auto" w:fill="72CA33"/>
        </w:rPr>
        <w:t xml:space="preserve"> Zalecany okres przechowywania: 5 lat</w:t>
      </w:r>
    </w:p>
    <w:p>
      <w:pPr>
        <w:spacing w:after="0" w:line="28" w:lineRule="exact"/>
        <w:rPr>
          <w:sz w:val="20"/>
          <w:szCs w:val="20"/>
          <w:color w:val="auto"/>
        </w:rPr>
      </w:pPr>
    </w:p>
    <w:p>
      <w:pPr xmlns:w="http://schemas.openxmlformats.org/wordprocessingml/2006/main">
        <w:jc w:val="both"/>
        <w:ind w:left="20" w:right="40"/>
        <w:spacing w:after="0" w:line="249" w:lineRule="auto"/>
        <w:rPr>
          <w:sz w:val="20"/>
          <w:szCs w:val="20"/>
          <w:color w:val="auto"/>
        </w:rPr>
      </w:pPr>
      <w:r>
        <w:rPr xmlns:w="http://schemas.openxmlformats.org/wordprocessingml/2006/main">
          <w:rFonts w:ascii="Arial" w:cs="Arial" w:eastAsia="Arial" w:hAnsi="Arial"/>
          <w:sz w:val="16"/>
          <w:szCs w:val="16"/>
          <w:color w:val="auto"/>
        </w:rPr>
        <w:t xml:space="preserve">RPZ (rekomendowany okres utrzymywania aktywów) został obliczony zgodnie ze strategią inwestycyjną Funduszu oraz terminem, w którym oczekuje się, że możliwe będzie osiągnięcie celu inwestycyjnego Funduszu.</w:t>
      </w:r>
      <w:r>
        <w:rPr xmlns:w="http://schemas.openxmlformats.org/wordprocessingml/2006/main">
          <w:rFonts w:ascii="Arial" w:cs="Arial" w:eastAsia="Arial" w:hAnsi="Arial"/>
          <w:sz w:val="16"/>
          <w:szCs w:val="16"/>
          <w:color w:val="auto"/>
        </w:rPr>
        <w:t xml:space="preserve"> Każda inwestycja powinna być rozpatrywana w kontekście Twoich specyficznych potrzeb inwestycyjnych i apetytu na ryzyko.</w:t>
      </w:r>
      <w:r>
        <w:rPr xmlns:w="http://schemas.openxmlformats.org/wordprocessingml/2006/main">
          <w:rFonts w:ascii="Arial" w:cs="Arial" w:eastAsia="Arial" w:hAnsi="Arial"/>
          <w:sz w:val="16"/>
          <w:szCs w:val="16"/>
          <w:color w:val="auto"/>
        </w:rPr>
        <w:t xml:space="preserve"> Firma BlackRock nie rozważyła przydatności ani adekwatności tej inwestycji do Twoich osobistych okoliczności.</w:t>
      </w:r>
      <w:r>
        <w:rPr xmlns:w="http://schemas.openxmlformats.org/wordprocessingml/2006/main">
          <w:rFonts w:ascii="Arial" w:cs="Arial" w:eastAsia="Arial" w:hAnsi="Arial"/>
          <w:sz w:val="16"/>
          <w:szCs w:val="16"/>
          <w:color w:val="auto"/>
        </w:rPr>
        <w:t xml:space="preserve"> W przypadku jakichkolwiek wątpliwości co do adekwatności funduszu do potrzeb należy zasięgnąć fachowej porady.</w:t>
      </w:r>
      <w:r>
        <w:rPr xmlns:w="http://schemas.openxmlformats.org/wordprocessingml/2006/main">
          <w:rFonts w:ascii="Arial" w:cs="Arial" w:eastAsia="Arial" w:hAnsi="Arial"/>
          <w:sz w:val="16"/>
          <w:szCs w:val="16"/>
          <w:color w:val="auto"/>
        </w:rPr>
        <w:t xml:space="preserve"> Szczegóły dotyczące częstotliwości transakcji można znaleźć w sekcji "Co to jest ten produkt?".</w:t>
      </w:r>
      <w:r>
        <w:rPr xmlns:w="http://schemas.openxmlformats.org/wordprocessingml/2006/main">
          <w:rFonts w:ascii="Arial" w:cs="Arial" w:eastAsia="Arial" w:hAnsi="Arial"/>
          <w:sz w:val="16"/>
          <w:szCs w:val="16"/>
          <w:color w:val="auto"/>
        </w:rPr>
        <w:t xml:space="preserve"> Możesz otrzymać mniej niż oczekiwano, jeśli dokonasz wpłaty wcześniej niż RPZ.</w:t>
      </w:r>
      <w:r>
        <w:rPr xmlns:w="http://schemas.openxmlformats.org/wordprocessingml/2006/main">
          <w:rFonts w:ascii="Arial" w:cs="Arial" w:eastAsia="Arial" w:hAnsi="Arial"/>
          <w:sz w:val="16"/>
          <w:szCs w:val="16"/>
          <w:color w:val="auto"/>
        </w:rPr>
        <w:t xml:space="preserve"> RPZ jest szacunkiem i nie może być traktowany jako gwarancja ani wskazanie przyszłych wyników, zwrotu lub poziomów ryzyka.</w:t>
      </w:r>
      <w:r>
        <w:rPr xmlns:w="http://schemas.openxmlformats.org/wordprocessingml/2006/main">
          <w:rFonts w:ascii="Arial" w:cs="Arial" w:eastAsia="Arial" w:hAnsi="Arial"/>
          <w:sz w:val="16"/>
          <w:szCs w:val="16"/>
          <w:color w:val="auto"/>
        </w:rPr>
        <w:t xml:space="preserve"> Szczegółowe informacje o opłatach za wyjście można znaleźć w sekcji "Jakie są koszty?".</w:t>
      </w:r>
    </w:p>
    <w:p>
      <w:pPr>
        <w:spacing w:after="0" w:line="18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Jak mogę złożyć skargę?</w:t>
      </w:r>
    </w:p>
    <w:p>
      <w:pPr>
        <w:spacing w:after="0" w:line="22" w:lineRule="exact"/>
        <w:rPr>
          <w:sz w:val="20"/>
          <w:szCs w:val="20"/>
          <w:color w:val="auto"/>
        </w:rPr>
      </w:pPr>
    </w:p>
    <w:p>
      <w:pPr xmlns:w="http://schemas.openxmlformats.org/wordprocessingml/2006/main">
        <w:jc w:val="both"/>
        <w:ind w:left="20" w:right="40"/>
        <w:spacing w:after="0" w:line="244" w:lineRule="auto"/>
        <w:rPr>
          <w:sz w:val="20"/>
          <w:szCs w:val="20"/>
          <w:color w:val="auto"/>
        </w:rPr>
      </w:pPr>
      <w:r>
        <w:rPr xmlns:w="http://schemas.openxmlformats.org/wordprocessingml/2006/main">
          <w:rFonts w:ascii="Arial" w:cs="Arial" w:eastAsia="Arial" w:hAnsi="Arial"/>
          <w:sz w:val="16"/>
          <w:szCs w:val="16"/>
          <w:color w:val="auto"/>
        </w:rPr>
        <w:t xml:space="preserve">Jeśli nie jesteś w pełni zadowolony z jakiegokolwiek aspektu usługi, którą otrzymałeś i chcesz złożyć skargę, szczegóły naszego procesu rozpatrywania reklamacji są dostępne na stronie www.ishares.com/de/privatanleger/de/wissen-und-service/uber-ishares/kontakt.</w:t>
      </w:r>
      <w:r>
        <w:rPr xmlns:w="http://schemas.openxmlformats.org/wordprocessingml/2006/main">
          <w:rFonts w:ascii="Arial" w:cs="Arial" w:eastAsia="Arial" w:hAnsi="Arial"/>
          <w:sz w:val="16"/>
          <w:szCs w:val="16"/>
          <w:color w:val="auto"/>
        </w:rPr>
        <w:t xml:space="preserve"> Dodatkowo możesz również napisać do Managera, w jego siedzibie, Lenbachplatz 1, 80333 Monachium lub wysłać wiadomość e-mail na adres info@ishares.de.</w:t>
      </w:r>
    </w:p>
    <w:p>
      <w:pPr>
        <w:spacing w:after="0" w:line="1"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Inne istotne informacje</w:t>
      </w:r>
    </w:p>
    <w:p>
      <w:pPr>
        <w:spacing w:after="0" w:line="22" w:lineRule="exact"/>
        <w:rPr>
          <w:sz w:val="20"/>
          <w:szCs w:val="20"/>
          <w:color w:val="auto"/>
        </w:rPr>
      </w:pPr>
    </w:p>
    <w:p>
      <w:pPr xmlns:w="http://schemas.openxmlformats.org/wordprocessingml/2006/main">
        <w:jc w:val="both"/>
        <w:ind w:left="20" w:right="40"/>
        <w:spacing w:after="0" w:line="245" w:lineRule="auto"/>
        <w:rPr>
          <w:sz w:val="20"/>
          <w:szCs w:val="20"/>
          <w:color w:val="auto"/>
        </w:rPr>
      </w:pPr>
      <w:r>
        <w:rPr xmlns:w="http://schemas.openxmlformats.org/wordprocessingml/2006/main">
          <w:rFonts w:ascii="Arial" w:cs="Arial" w:eastAsia="Arial" w:hAnsi="Arial"/>
          <w:sz w:val="16"/>
          <w:szCs w:val="16"/>
          <w:color w:val="auto"/>
        </w:rPr>
        <w:t xml:space="preserve">Najnowsza wersja tego dokumentu, 10 lat wyników Funduszu w przeszłości, poprzedni scenariusz wyników Funduszu, najnowszy raport roczny i raport półroczny oraz wszelkie dodatkowe informacje dla inwestorów można uzyskać bezpłatnie, w języku niemieckim, angielskim i niektórych innych językach, pod adresem www.ishares.com (wybierz swój kraj i przejdź do dokumentów) lub pod numerem +49 (0) 89 42729 5858 lub u swojego brokera, doradcy finansowego lub dystrybutora.</w:t>
      </w:r>
    </w:p>
    <w:p>
      <w:pPr>
        <w:spacing w:after="0" w:line="3" w:lineRule="exact"/>
        <w:rPr>
          <w:sz w:val="20"/>
          <w:szCs w:val="20"/>
          <w:color w:val="auto"/>
        </w:rPr>
      </w:pPr>
    </w:p>
    <w:p>
      <w:pPr xmlns:w="http://schemas.openxmlformats.org/wordprocessingml/2006/main">
        <w:jc w:val="both"/>
        <w:ind w:left="2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Wskaźnik referencyjny (wskaźniki referencyjne), o których mowa w niniejszym dokumencie, stanowią własność intelektualną dostawcy(-ów) indeksu.</w:t>
      </w:r>
      <w:r>
        <w:rPr xmlns:w="http://schemas.openxmlformats.org/wordprocessingml/2006/main">
          <w:rFonts w:ascii="Arial" w:cs="Arial" w:eastAsia="Arial" w:hAnsi="Arial"/>
          <w:sz w:val="16"/>
          <w:szCs w:val="16"/>
          <w:color w:val="auto"/>
        </w:rPr>
        <w:t xml:space="preserve"> Produkt nie jest sponsorowany ani wspierany przez dostawcę(-ów) indeksu.</w:t>
      </w:r>
      <w:r>
        <w:rPr xmlns:w="http://schemas.openxmlformats.org/wordprocessingml/2006/main">
          <w:rFonts w:ascii="Arial" w:cs="Arial" w:eastAsia="Arial" w:hAnsi="Arial"/>
          <w:sz w:val="16"/>
          <w:szCs w:val="16"/>
          <w:color w:val="auto"/>
        </w:rPr>
        <w:t xml:space="preserve"> Pełne zastrzeżenie(-a) można znaleźć w prospekcie emisyjnym lub na stronie www.blackrock.com.</w:t>
      </w:r>
    </w:p>
    <w:p>
      <w:pPr xmlns:w="http://schemas.openxmlformats.org/wordprocessingml/2006/main">
        <w:ind w:left="20" w:right="40"/>
        <w:spacing w:after="0" w:line="252" w:lineRule="auto"/>
        <w:rPr>
          <w:sz w:val="20"/>
          <w:szCs w:val="20"/>
          <w:color w:val="auto"/>
        </w:rPr>
      </w:pPr>
      <w:r>
        <w:rPr xmlns:w="http://schemas.openxmlformats.org/wordprocessingml/2006/main">
          <w:rFonts w:ascii="Arial" w:cs="Arial" w:eastAsia="Arial" w:hAnsi="Arial"/>
          <w:sz w:val="16"/>
          <w:szCs w:val="16"/>
          <w:color w:val="auto"/>
        </w:rPr>
        <w:t xml:space="preserve">Polityka wynagradzania Zarządzającego, która opisuje sposób ustalania i przyznawania wynagrodzeń i świadczeń oraz związane z tym ustalenia dotyczące ładu korporacyjnego, dostępna jest na stronie www.blackrock.com/Remunerationpolicy lub na żądanie ze strony siedziby Zarządzającego.</w:t>
      </w:r>
      <w:r>
        <w:rPr xmlns:w="http://schemas.openxmlformats.org/wordprocessingml/2006/main">
          <w:rFonts w:ascii="Arial" w:cs="Arial" w:eastAsia="Arial" w:hAnsi="Arial"/>
          <w:sz w:val="16"/>
          <w:szCs w:val="16"/>
          <w:color w:val="auto"/>
        </w:rPr>
        <w:t xml:space="preserve"> Szwajcarskim przedstawicielem funduszu jest BlackRock Asset Management Schweiz AG, Bahnhofstrasse 39, 8001 Zurych.</w:t>
      </w:r>
      <w:r>
        <w:rPr xmlns:w="http://schemas.openxmlformats.org/wordprocessingml/2006/main">
          <w:rFonts w:ascii="Arial" w:cs="Arial" w:eastAsia="Arial" w:hAnsi="Arial"/>
          <w:sz w:val="16"/>
          <w:szCs w:val="16"/>
          <w:color w:val="auto"/>
        </w:rPr>
        <w:t xml:space="preserve"> Szwajcarskim agentem płatniczym Funduszu jest State Street Bank International GmbH, Monachium, Oddział w Zurychu, Beethovenstrasse 19, 8027 Zurych.</w:t>
      </w:r>
      <w:r>
        <w:rPr xmlns:w="http://schemas.openxmlformats.org/wordprocessingml/2006/main">
          <w:rFonts w:ascii="Arial" w:cs="Arial" w:eastAsia="Arial" w:hAnsi="Arial"/>
          <w:sz w:val="16"/>
          <w:szCs w:val="16"/>
          <w:color w:val="auto"/>
        </w:rPr>
        <w:t xml:space="preserve"> Prospekt emisyjny, niniejszy dokument, statut funduszu są dostępne bezpłatnie u przedstawiciela Szwajcarii.</w:t>
      </w:r>
    </w:p>
    <w:p>
      <w:pPr>
        <w:sectPr>
          <w:pgSz w:w="11900" w:h="16838" w:orient="portrait"/>
          <w:cols w:equalWidth="0" w:num="1">
            <w:col w:w="10780"/>
          </w:cols>
          <w:pgMar w:left="56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8" w:lineRule="exact"/>
        <w:rPr>
          <w:sz w:val="20"/>
          <w:szCs w:val="20"/>
          <w:color w:val="auto"/>
        </w:rPr>
      </w:pPr>
    </w:p>
    <w:p>
      <w:pPr xmlns:w="http://schemas.openxmlformats.org/wordprocessingml/2006/main">
        <w:jc w:val="center"/>
        <w:ind w:right="-19"/>
        <w:spacing w:after="0"/>
        <w:rPr>
          <w:sz w:val="20"/>
          <w:szCs w:val="20"/>
          <w:color w:val="auto"/>
        </w:rPr>
      </w:pPr>
      <w:r>
        <w:rPr xmlns:w="http://schemas.openxmlformats.org/wordprocessingml/2006/main">
          <w:rFonts w:ascii="Arial" w:cs="Arial" w:eastAsia="Arial" w:hAnsi="Arial"/>
          <w:sz w:val="20"/>
          <w:szCs w:val="20"/>
          <w:color w:val="auto"/>
        </w:rPr>
        <w:t xml:space="preserve">3</w:t>
      </w:r>
    </w:p>
    <w:sectPr>
      <w:pgSz w:w="11900" w:h="16838" w:orient="portrait"/>
      <w:cols w:equalWidth="0" w:num="1">
        <w:col w:w="10780"/>
      </w:cols>
      <w:pgMar w:left="560" w:top="582" w:right="56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F1A59B4"/>
    <w:multiLevelType w:val="hybridMultilevel"/>
    <w:lvl w:ilvl="0">
      <w:lvlJc w:val="left"/>
      <w:lvlText w:val="*"/>
      <w:numFmt w:val="bullet"/>
      <w:start w:val="1"/>
    </w:lvl>
  </w:abstractNum>
  <w:abstractNum w:abstractNumId="1">
    <w:nsid w:val="5D0F9D5B"/>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image" Target="media/image7.jpeg"/><Relationship Id="rId19" Type="http://schemas.openxmlformats.org/officeDocument/2006/relationships/image" Target="media/image8.jpeg"/><Relationship Id="rId20" Type="http://schemas.openxmlformats.org/officeDocument/2006/relationships/image" Target="media/image9.jpeg"/><Relationship Id="rId21" Type="http://schemas.openxmlformats.org/officeDocument/2006/relationships/image" Target="media/image10.jpeg"/><Relationship Id="rId22" Type="http://schemas.openxmlformats.org/officeDocument/2006/relationships/image" Target="media/image11.jpeg"/><Relationship Id="rId23" Type="http://schemas.openxmlformats.org/officeDocument/2006/relationships/image" Target="media/image12.jpeg"/><Relationship Id="rId24" Type="http://schemas.openxmlformats.org/officeDocument/2006/relationships/image" Target="media/image13.jpeg"/><Relationship Id="rId25" Type="http://schemas.openxmlformats.org/officeDocument/2006/relationships/image" Target="media/image14.jpeg"/><Relationship Id="rId26" Type="http://schemas.openxmlformats.org/officeDocument/2006/relationships/image" Target="media/image15.jpeg"/><Relationship Id="rId27" Type="http://schemas.openxmlformats.org/officeDocument/2006/relationships/image" Target="media/image16.png"/><Relationship Id="rId28" Type="http://schemas.openxmlformats.org/officeDocument/2006/relationships/image" Target="media/image17.jpeg"/><Relationship Id="rId29" Type="http://schemas.openxmlformats.org/officeDocument/2006/relationships/image" Target="media/image18.jpeg"/><Relationship Id="rId30" Type="http://schemas.openxmlformats.org/officeDocument/2006/relationships/image" Target="media/image19.jpeg"/><Relationship Id="rId31" Type="http://schemas.openxmlformats.org/officeDocument/2006/relationships/image" Target="media/image20.jpeg"/><Relationship Id="rId32" Type="http://schemas.openxmlformats.org/officeDocument/2006/relationships/image" Target="media/image21.jpeg"/><Relationship Id="rId33" Type="http://schemas.openxmlformats.org/officeDocument/2006/relationships/image" Target="media/image22.jpeg"/><Relationship Id="rId34" Type="http://schemas.openxmlformats.org/officeDocument/2006/relationships/image" Target="media/image23.jpeg"/><Relationship Id="rId35" Type="http://schemas.openxmlformats.org/officeDocument/2006/relationships/image" Target="media/image24.jpeg"/><Relationship Id="rId36" Type="http://schemas.openxmlformats.org/officeDocument/2006/relationships/image" Target="media/image25.jpeg"/><Relationship Id="rId37" Type="http://schemas.openxmlformats.org/officeDocument/2006/relationships/image" Target="media/image2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2024-05-21T08:57:33Z</dcterms:created>
  <dcterms:modified xsi:type="dcterms:W3CDTF">2024-05-21T08:57:33Z</dcterms:modified>
</cp:coreProperties>
</file>