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32"/>
          <w:szCs w:val="32"/>
          <w:color w:val="FFFFFF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534670</wp:posOffset>
                </wp:positionH>
                <wp:positionV relativeFrom="page">
                  <wp:posOffset>417830</wp:posOffset>
                </wp:positionV>
                <wp:extent cx="6677025" cy="496570"/>
                <wp:wrapNone/>
                <wp:docPr id="1" name="Shap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6677025" cy="496570"/>
                        </a:xfrm>
                        <a:prstGeom prst="rect">
                          <a:avLst/>
                        </a:prstGeom>
                        <a:solidFill>
                          <a:srgbClr val="1F4E79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xmlns:v="urn:schemas-microsoft-com:vml" id="Shape 1" o:spid="_x0000_s1026" style="position:absolute;margin-left:42.1pt;margin-top:32.9pt;width:525.75pt;height:39.1pt;z-index:-251657728;visibility:visible;mso-wrap-style:square;mso-width-percent:0;mso-height-percent:0;mso-wrap-distance-left:0pt;mso-wrap-distance-top:0;mso-wrap-distance-right:0pt;mso-wrap-distance-bottom:0;mso-position-horizontal:absolute;mso-position-horizontal-relative:page;mso-position-vertical:absolute;mso-position-vertical-relative:page;mso-width-percent:0;mso-height-percent:0;mso-width-relative:page;mso-height-relative:page;v-text-anchor:top" o:allowincell="f" fillcolor="#1F4E79" stroked="f">
                <w10:wrap xmlns:w10="urn:schemas-microsoft-com:office:word" anchorx="page" anchory="page"/>
              </v:rect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32"/>
          <w:szCs w:val="32"/>
          <w:color w:val="FFFFFF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582295</wp:posOffset>
                </wp:positionH>
                <wp:positionV relativeFrom="page">
                  <wp:posOffset>417830</wp:posOffset>
                </wp:positionV>
                <wp:extent cx="6581775" cy="496570"/>
                <wp:wrapNone/>
                <wp:docPr id="2" name="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6581775" cy="49657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xmlns:v="urn:schemas-microsoft-com:vml" id="Shape 2" o:spid="_x0000_s1027" style="position:absolute;margin-left:45.85pt;margin-top:32.9pt;width:518.25pt;height:39.1pt;z-index:-251657728;visibility:visible;mso-wrap-style:square;mso-width-percent:0;mso-height-percent:0;mso-wrap-distance-left:0pt;mso-wrap-distance-top:0;mso-wrap-distance-right:0pt;mso-wrap-distance-bottom:0;mso-position-horizontal:absolute;mso-position-horizontal-relative:page;mso-position-vertical:absolute;mso-position-vertical-relative:page;mso-width-percent:0;mso-height-percent:0;mso-width-relative:page;mso-height-relative:page;v-text-anchor:top" o:allowincell="f" fillcolor="#000000" stroked="f">
                <w10:wrap xmlns:w10="urn:schemas-microsoft-com:office:word" anchorx="page" anchory="page"/>
              </v:rect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32"/>
          <w:szCs w:val="32"/>
          <w:color w:val="FFFFFF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528320</wp:posOffset>
                </wp:positionH>
                <wp:positionV relativeFrom="page">
                  <wp:posOffset>414020</wp:posOffset>
                </wp:positionV>
                <wp:extent cx="6690360" cy="0"/>
                <wp:wrapNone/>
                <wp:docPr id="3" name="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669036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3" o:spid="_x0000_s1028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41.6pt,32.6pt" to="568.4pt,32.6pt" o:allowincell="f" strokecolor="#000000" strokeweight="0.4799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32"/>
          <w:szCs w:val="32"/>
          <w:color w:val="FFFFFF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528320</wp:posOffset>
                </wp:positionH>
                <wp:positionV relativeFrom="page">
                  <wp:posOffset>916940</wp:posOffset>
                </wp:positionV>
                <wp:extent cx="6690360" cy="0"/>
                <wp:wrapNone/>
                <wp:docPr id="4" name="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669036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4" o:spid="_x0000_s1029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41.6pt,72.2pt" to="568.4pt,72.2pt" o:allowincell="f" strokecolor="#000000" strokeweight="0.4799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32"/>
          <w:szCs w:val="32"/>
          <w:color w:val="FFFFFF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528320</wp:posOffset>
                </wp:positionH>
                <wp:positionV relativeFrom="page">
                  <wp:posOffset>1791970</wp:posOffset>
                </wp:positionV>
                <wp:extent cx="6690360" cy="0"/>
                <wp:wrapNone/>
                <wp:docPr id="5" name="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669036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5" o:spid="_x0000_s1030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41.6pt,141.1pt" to="568.4pt,141.1pt" o:allowincell="f" strokecolor="#000000" strokeweight="0.4799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32"/>
          <w:szCs w:val="32"/>
          <w:color w:val="FFFFFF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528320</wp:posOffset>
                </wp:positionH>
                <wp:positionV relativeFrom="page">
                  <wp:posOffset>3006725</wp:posOffset>
                </wp:positionV>
                <wp:extent cx="6690360" cy="0"/>
                <wp:wrapNone/>
                <wp:docPr id="6" name="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669036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6" o:spid="_x0000_s1031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41.6pt,236.75pt" to="568.4pt,236.75pt" o:allowincell="f" strokecolor="#000000" strokeweight="0.4799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32"/>
          <w:szCs w:val="32"/>
          <w:color w:val="FFFFFF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528320</wp:posOffset>
                </wp:positionH>
                <wp:positionV relativeFrom="page">
                  <wp:posOffset>3865880</wp:posOffset>
                </wp:positionV>
                <wp:extent cx="6690360" cy="0"/>
                <wp:wrapNone/>
                <wp:docPr id="7" name="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669036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7" o:spid="_x0000_s1032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41.6pt,304.4pt" to="568.4pt,304.4pt" o:allowincell="f" strokecolor="#000000" strokeweight="0.4799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32"/>
          <w:szCs w:val="32"/>
          <w:color w:val="FFFFFF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531495</wp:posOffset>
                </wp:positionH>
                <wp:positionV relativeFrom="page">
                  <wp:posOffset>411480</wp:posOffset>
                </wp:positionV>
                <wp:extent cx="0" cy="8382000"/>
                <wp:wrapNone/>
                <wp:docPr id="8" name="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4763" cy="838200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8" o:spid="_x0000_s1033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41.85pt,32.4pt" to="41.85pt,692.4pt" o:allowincell="f" strokecolor="#000000" strokeweight="0.4799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32"/>
          <w:szCs w:val="32"/>
          <w:color w:val="FFFFFF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7216140</wp:posOffset>
                </wp:positionH>
                <wp:positionV relativeFrom="page">
                  <wp:posOffset>411480</wp:posOffset>
                </wp:positionV>
                <wp:extent cx="0" cy="8382000"/>
                <wp:wrapNone/>
                <wp:docPr id="9" name="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4763" cy="838200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9" o:spid="_x0000_s1034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68.2pt,32.4pt" to="568.2pt,692.4pt" o:allowincell="f" strokecolor="#000000" strokeweight="0.4799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32"/>
          <w:szCs w:val="32"/>
          <w:color w:val="FFFFFF"/>
        </w:rPr>
        <w:t xml:space="preserve">Kluczowe informacje</w:t>
      </w:r>
    </w:p>
    <w:p>
      <w:pPr>
        <w:spacing w:after="0" w:line="1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32"/>
          <w:szCs w:val="32"/>
          <w:color w:val="FFFFFF"/>
        </w:rPr>
        <w:t xml:space="preserve">Dokument - Standaryzowane Opcje Walutowe (Krótkie Wezwanie)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-61595</wp:posOffset>
                </wp:positionH>
                <wp:positionV relativeFrom="paragraph">
                  <wp:posOffset>25400</wp:posOffset>
                </wp:positionV>
                <wp:extent cx="6676390" cy="868680"/>
                <wp:wrapNone/>
                <wp:docPr id="10" name="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76390" cy="868680"/>
                        </a:xfrm>
                        <a:prstGeom prst="rect">
                          <a:avLst/>
                        </a:prstGeom>
                        <a:solidFill>
                          <a:srgbClr val="9CC2E5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10" o:spid="_x0000_s1035" style="position:absolute;margin-left:-4.8499pt;margin-top:2pt;width:525.7pt;height:68.4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9CC2E5" stroked="f"/>
            </w:pict>
          </mc:Fallback>
        </mc:AlternateContent>
      </w: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4"/>
          <w:szCs w:val="24"/>
          <w:b w:val="1"/>
          <w:bCs w:val="1"/>
          <w:color w:val="auto"/>
        </w:rPr>
        <w:t xml:space="preserve">Przeznaczenie</w:t>
      </w:r>
    </w:p>
    <w:p>
      <w:pPr>
        <w:spacing w:after="0" w:line="68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right="120"/>
        <w:spacing w:after="0" w:line="225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Niniejszy dokument zawiera kluczowe informacje na temat tego produktu inwestycyjnego.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Nie jest to materiał marketingowy.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Informacje te są wymagane przez prawo, aby pomóc Ci zrozumieć charakter, ryzyko, koszty, potencjalne zyski i straty tego produktu oraz aby pomóc Ci porównać go z innymi produktami.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Jest to dokument wyłącznie angielski, nieupoważniony do tłumaczenia na inny język.</w:t>
      </w:r>
    </w:p>
    <w:p>
      <w:pPr>
        <w:spacing w:after="0" w:line="10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4"/>
          <w:szCs w:val="24"/>
          <w:b w:val="1"/>
          <w:bCs w:val="1"/>
          <w:color w:val="auto"/>
        </w:rPr>
        <w:t xml:space="preserve">Produkt</w:t>
      </w:r>
    </w:p>
    <w:p>
      <w:pPr>
        <w:spacing w:after="0" w:line="68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spacing w:after="0" w:line="229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Amerykańskie Standardowe Opcje Walutowe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Options Clearing Corporation ("OCC") udostępnia niniejszy dokument na podstawie Rozporządzenia UE nr 1286/2014 dla standardowych opcji walutowych ("FX") (a/k/a "notowane opcje").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Standaryzowane opcje walutowe są notowane i znajdują się w obrocie na giełdach opcji amerykańskich zarejestrowanych w amerykańskiej Komisji Papierów Wartościowych i Giełd ("SEC") i są emitowane, rozliczane i rozliczane przez OCC, agencję rozliczeniową zarejestrowaną w SEC.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Więcej informacji, w tym dane kontaktowe amerykańskich giełd opcji, inwestorzy mogą znaleźć na stronie internetowej OCC pod adresem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u w:val="single" w:color="auto"/>
          <w:color w:val="0563C1"/>
        </w:rPr>
        <w:t xml:space="preserve"> www.theocc.com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000000"/>
        </w:rPr>
        <w:t xml:space="preserve"> lub skontaktować się z OCC pod numerem 1-312-322-6200.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000000"/>
        </w:rPr>
        <w:t xml:space="preserve"> Zaktualizowany 28 grudnia 2022 i 20 kwietnia 2023.</w:t>
      </w:r>
    </w:p>
    <w:p>
      <w:pPr>
        <w:spacing w:after="0" w:line="83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right="40" w:firstLine="50"/>
        <w:spacing w:after="0" w:line="228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Alert.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Zamierzasz kupić produkt, który nie jest prosty i może być trudny do zrozumienia.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Inwestorzy nie powinni handlować opcjami walutowymi standardowymi, dopóki nie przeczytają i nie zrozumieją tego dokumentu i związanego z nim dokumentu ujawniającego ryzyko, który jest przedkładany SEC, 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u w:val="single" w:color="auto"/>
          <w:color w:val="auto"/>
        </w:rPr>
        <w:t xml:space="preserve">Charakterystyka i ryzyko opcji standardowych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, zwanego również dokumentem ujawniającym opcje ("ODD")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i w:val="1"/>
          <w:iCs w:val="1"/>
          <w:color w:val="auto"/>
        </w:rPr>
        <w:t xml:space="preserve">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Ujawnienia w niniejszym dokumencie należy interpretować w sposób zgodny z ODD, 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u w:val="single" w:color="auto"/>
          <w:color w:val="0563C1"/>
        </w:rPr>
        <w:t xml:space="preserve">https://www.theocc.com/components/docs/riskstoc.pdf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-61595</wp:posOffset>
                </wp:positionH>
                <wp:positionV relativeFrom="paragraph">
                  <wp:posOffset>20955</wp:posOffset>
                </wp:positionV>
                <wp:extent cx="6676390" cy="4918075"/>
                <wp:wrapNone/>
                <wp:docPr id="11" name="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76390" cy="4918075"/>
                        </a:xfrm>
                        <a:prstGeom prst="rect">
                          <a:avLst/>
                        </a:prstGeom>
                        <a:solidFill>
                          <a:srgbClr val="BDD6EE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11" o:spid="_x0000_s1036" style="position:absolute;margin-left:-4.8499pt;margin-top:1.65pt;width:525.7pt;height:387.25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BDD6EE" stroked="f"/>
            </w:pict>
          </mc:Fallback>
        </mc:AlternateContent>
      </w: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4"/>
          <w:szCs w:val="24"/>
          <w:b w:val="1"/>
          <w:bCs w:val="1"/>
          <w:color w:val="auto"/>
        </w:rPr>
        <w:t xml:space="preserve">Co to za produkt?</w:t>
      </w:r>
    </w:p>
    <w:p>
      <w:pPr>
        <w:spacing w:after="0" w:line="42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Typ</w:t>
      </w:r>
    </w:p>
    <w:p>
      <w:pPr>
        <w:spacing w:after="0" w:line="105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right="120"/>
        <w:spacing w:after="0" w:line="233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Wystandaryzowana opcja walutowa to prawo do kupna lub sprzedaży jednej waluty ("waluta bazowa") po ustalonej cenie ("cena wykonania") denominowanej w innej walucie ("waluta obrotu"), stanowiącej "kurs wymiany" pomiędzy walutami, poprzez skorzystanie z opcji przed wygaśnięciem.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Ekspozycja na walutę bazową jest zatem pośrednia, ponieważ wartość opcji jest ustalana na podstawie wartości waluty bazowej.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Daty ważności są różne.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OCC nie może jednostronnie zakończyć opcji.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W pewnych nadzwyczajnych okolicznościach, w których warunki opcji zostaną jednoznacznie uznane za błędne, giełda, na której wykonywana jest transakcja, może jednostronnie wypowiedzieć opcję w określonym terminie po jej wykonaniu.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W niektórych przypadkach działanie emitenta waluty obcej może skutkować zmianą warunków opcji zgodnie z regułami OCC, które mogą różnić się od metodologii stosowanej na rynkach europejskich.</w:t>
      </w:r>
    </w:p>
    <w:p>
      <w:pPr>
        <w:spacing w:after="0" w:line="4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Cele</w:t>
      </w:r>
    </w:p>
    <w:p>
      <w:pPr>
        <w:spacing w:after="0" w:line="108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spacing w:after="0" w:line="234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Posiadaczem (kupującym) opcji jest osoba, która kupuje prawo z opcji i płaci autorowi (sprzedającemu) bezzwrotną płatność zwaną "premią".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Scenariusz opcji jest zobowiązany - w przypadku przypisania wykonania opcji - do wykonania opcji zgodnie z warunkami kupna lub sprzedaży waluty bazowej po cenie wykonania opcji.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Opcja dająca posiadaczowi prawo do zakupu jest opcją kupna, a opcja dająca posiadaczowi prawo do sprzedaży jest opcją sprzedaży.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Posiadacz może skorzystać z opcji typu amerykańskiego w dowolnym momencie przed wygaśnięciem, natomiast opcja typu europejskiego może być wykonana tylko w określonym okresie przed wygaśnięciem (data wygaśnięcia).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Standaryzowane opcje walutowe są z reguły rozliczane fizycznie, ale mogą być również rozliczane w środkach pieniężnych.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Fizyczne rozliczenie daje posiadaczowi prawo do otrzymania (wezwania) lub fizycznego dostarczenia (sprzedaży) instrumentu bazowego w momencie wykonania.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W rozliczeniach pieniężnych posiadacz ma prawo do otrzymania płatności gotówkowej, jeżeli ustalona wartość instrumentu bazowego w momencie wykonania przekracza (wezwanie) lub jest niższa od (opcja sprzedaży) ceny wykonania.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Czynniki wpływające na wartość opcji to cena wykonania opcji, czas do wygaśnięcia opcji oraz wartość waluty bazowej i handlowej oraz ich podatność na wahania cen (zmienność).</w:t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Zamierzony Inwestor Detaliczny</w:t>
      </w:r>
    </w:p>
    <w:p>
      <w:pPr>
        <w:spacing w:after="0" w:line="108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right="40"/>
        <w:spacing w:after="0" w:line="225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Produkt ten nie jest przeznaczony dla konkretnego rodzaju inwestora ani nie jest przeznaczony do realizacji określonego celu inwestycyjnego lub strategii inwestycyjnej.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Nie jest ona odpowiednia dla wszystkich inwestorów i jest przeznaczona wyłącznie dla inwestorów, którzy dobrze rozumieją produkt i mogą ponieść potencjalne straty związane z nim i związaną z nim strategią inwestycyjną.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W przypadku pytań dotyczących odpowiedniości prosimy o kontakt z brokerem lub doradcą inwestycyjnym.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-67945</wp:posOffset>
                </wp:positionH>
                <wp:positionV relativeFrom="paragraph">
                  <wp:posOffset>17780</wp:posOffset>
                </wp:positionV>
                <wp:extent cx="6689725" cy="0"/>
                <wp:wrapNone/>
                <wp:docPr id="12" name="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8972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2" o:spid="_x0000_s1037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-5.3499pt,1.4pt" to="521.4pt,1.4pt" o:allowincell="f" strokecolor="#000000" strokeweight="0.48pt"/>
            </w:pict>
          </mc:Fallback>
        </mc:AlternateContent>
      </w:r>
    </w:p>
    <w:p>
      <w:pPr>
        <w:sectPr>
          <w:pgSz w:w="12240" w:h="15840" w:orient="portrait"/>
          <w:cols w:equalWidth="0" w:num="1">
            <w:col w:w="10300"/>
          </w:cols>
          <w:pgMar w:left="940" w:top="627" w:right="1000" w:bottom="1440" w:gutter="0" w:footer="0" w:header="0"/>
        </w:sectPr>
      </w:pPr>
    </w:p>
    <w:bookmarkStart w:id="1" w:name="page2"/>
    <w:bookmarkEnd w:id="1"/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4"/>
          <w:szCs w:val="24"/>
          <w:b w:val="1"/>
          <w:bCs w:val="1"/>
          <w:color w:val="auto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528320</wp:posOffset>
                </wp:positionH>
                <wp:positionV relativeFrom="page">
                  <wp:posOffset>414020</wp:posOffset>
                </wp:positionV>
                <wp:extent cx="6690360" cy="0"/>
                <wp:wrapNone/>
                <wp:docPr id="13" name="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669036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13" o:spid="_x0000_s1038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41.6pt,32.6pt" to="568.4pt,32.6pt" o:allowincell="f" strokecolor="#000000" strokeweight="0.4799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24"/>
          <w:szCs w:val="24"/>
          <w:b w:val="1"/>
          <w:bCs w:val="1"/>
          <w:color w:val="auto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531495</wp:posOffset>
                </wp:positionH>
                <wp:positionV relativeFrom="page">
                  <wp:posOffset>411480</wp:posOffset>
                </wp:positionV>
                <wp:extent cx="0" cy="9230360"/>
                <wp:wrapNone/>
                <wp:docPr id="14" name="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4763" cy="923036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14" o:spid="_x0000_s1039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41.85pt,32.4pt" to="41.85pt,759.2pt" o:allowincell="f" strokecolor="#000000" strokeweight="0.4799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24"/>
          <w:szCs w:val="24"/>
          <w:b w:val="1"/>
          <w:bCs w:val="1"/>
          <w:color w:val="auto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7216140</wp:posOffset>
                </wp:positionH>
                <wp:positionV relativeFrom="page">
                  <wp:posOffset>411480</wp:posOffset>
                </wp:positionV>
                <wp:extent cx="0" cy="9230360"/>
                <wp:wrapNone/>
                <wp:docPr id="15" name="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4763" cy="923036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15" o:spid="_x0000_s1040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68.2pt,32.4pt" to="568.2pt,759.2pt" o:allowincell="f" strokecolor="#000000" strokeweight="0.4799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24"/>
          <w:szCs w:val="24"/>
          <w:b w:val="1"/>
          <w:bCs w:val="1"/>
          <w:color w:val="auto"/>
        </w:rPr>
        <w:t xml:space="preserve">Jakie jest ryzyko i co mogę dostać w zamian?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1062990</wp:posOffset>
            </wp:positionH>
            <wp:positionV relativeFrom="paragraph">
              <wp:posOffset>15875</wp:posOffset>
            </wp:positionV>
            <wp:extent cx="4906010" cy="179959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6010" cy="1799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1062990</wp:posOffset>
            </wp:positionH>
            <wp:positionV relativeFrom="paragraph">
              <wp:posOffset>15875</wp:posOffset>
            </wp:positionV>
            <wp:extent cx="4906010" cy="1799590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6010" cy="1799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86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6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Wskaźnik Ryzyka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44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right="120"/>
        <w:spacing w:after="0" w:line="227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Podsumowujący wskaźnik ryzyka jest wskazówką dotyczącą poziomu ryzyka tego produktu w porównaniu z innymi produktami.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Pokazuje, jak prawdopodobne jest, że produkt straci pieniądze z powodu zmian na rynkach lub dlatego, że nie jesteśmy w stanie zapłacić.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Zaklasyfikowaliśmy ten produkt jako 7 z 7, co jest najwyższą klasą ryzyka i ocenia potencjalne straty z przyszłych wyników na bardzo wysokim poziomie.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Ten produkt nie obejmuje żadnej ochrony przed przyszłą sytuacją rynkową, więc możesz stracić część lub całość inwestycji.</w:t>
      </w:r>
    </w:p>
    <w:p>
      <w:pPr>
        <w:spacing w:after="0" w:line="46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Profil ryzyka i zysku dla posiadaczy i emitentów zależy od warunków opcji, ale może obejmować:</w:t>
      </w:r>
    </w:p>
    <w:p>
      <w:pPr>
        <w:spacing w:after="0" w:line="79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220" w:right="20" w:hanging="214"/>
        <w:spacing w:after="0" w:line="225" w:lineRule="auto"/>
        <w:tabs>
          <w:tab w:leader="none" w:pos="220" w:val="left"/>
        </w:tabs>
        <w:numPr>
          <w:ilvl w:val="0"/>
          <w:numId w:val="1"/>
        </w:numPr>
        <w:rPr>
          <w:rFonts w:ascii="Symbol" w:cs="Symbol" w:eastAsia="Symbol" w:hAnsi="Symbol"/>
          <w:sz w:val="22"/>
          <w:szCs w:val="22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Od podmiotu wystawiającego opcje można wymagać, aby spełnił obowiązek zakupu lub sprzedaży udziałów bazowych w każdym czasie, w którym opcja jest wykonalna ze względu na jej styl.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Jednostka zapisująca opcje kupna, która nie jest właścicielem waluty bazowej (wezwanie niepokryte), ponosi ryzyko potencjalnie nieograniczonej straty.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Moduł zapisujący opcje sprzedaży może stracić różnicę między ceną wykonania a zerem.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Podmioty zapisujące niepokryte wezwania i wystawiające depozyt zabezpieczający (opisany poniżej) u swojego brokera, co stwarza dodatkowe ryzyko.</w:t>
      </w:r>
    </w:p>
    <w:p>
      <w:pPr>
        <w:spacing w:after="0" w:line="83" w:lineRule="exact"/>
        <w:rPr>
          <w:rFonts w:ascii="Symbol" w:cs="Symbol" w:eastAsia="Symbol" w:hAnsi="Symbol"/>
          <w:sz w:val="22"/>
          <w:szCs w:val="22"/>
          <w:color w:val="auto"/>
        </w:rPr>
      </w:pPr>
    </w:p>
    <w:p>
      <w:pPr xmlns:w="http://schemas.openxmlformats.org/wordprocessingml/2006/main">
        <w:ind w:left="220" w:right="20" w:hanging="214"/>
        <w:spacing w:after="0" w:line="217" w:lineRule="auto"/>
        <w:tabs>
          <w:tab w:leader="none" w:pos="220" w:val="left"/>
        </w:tabs>
        <w:numPr>
          <w:ilvl w:val="0"/>
          <w:numId w:val="1"/>
        </w:numPr>
        <w:rPr>
          <w:rFonts w:ascii="Symbol" w:cs="Symbol" w:eastAsia="Symbol" w:hAnsi="Symbol"/>
          <w:sz w:val="22"/>
          <w:szCs w:val="22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Jeżeli amerykańska giełda opcji, na której jedynym przedmiotem obrotu są opcje, stanie się niedostępna, inwestorzy w te opcje nie będą już mogli zawierać transakcji zamknięcia.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Ponadto mogą wystąpić sytuacje, w których ceny opcji nie utrzymają zwyczajowych lub oczekiwanych relacji z wartościami udziałów bazowych lub powiązanych.</w:t>
      </w:r>
    </w:p>
    <w:p>
      <w:pPr>
        <w:spacing w:after="0" w:line="79" w:lineRule="exact"/>
        <w:rPr>
          <w:rFonts w:ascii="Symbol" w:cs="Symbol" w:eastAsia="Symbol" w:hAnsi="Symbol"/>
          <w:sz w:val="22"/>
          <w:szCs w:val="22"/>
          <w:color w:val="auto"/>
        </w:rPr>
      </w:pPr>
    </w:p>
    <w:p>
      <w:pPr xmlns:w="http://schemas.openxmlformats.org/wordprocessingml/2006/main">
        <w:ind w:left="220" w:right="660" w:hanging="214"/>
        <w:spacing w:after="0" w:line="204" w:lineRule="auto"/>
        <w:tabs>
          <w:tab w:leader="none" w:pos="220" w:val="left"/>
        </w:tabs>
        <w:numPr>
          <w:ilvl w:val="0"/>
          <w:numId w:val="1"/>
        </w:numPr>
        <w:rPr>
          <w:rFonts w:ascii="Symbol" w:cs="Symbol" w:eastAsia="Symbol" w:hAnsi="Symbol"/>
          <w:sz w:val="22"/>
          <w:szCs w:val="22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Jeżeli waluta bazowa wykonanej opcji, która jest fizycznie rozliczana, jest niedostępna, zasady rozliczania metodą otwartą mogą wymagać alternatywnej formy rozliczenia, takiej jak rozliczenie gotówkowe.</w:t>
      </w:r>
    </w:p>
    <w:p>
      <w:pPr>
        <w:spacing w:after="0" w:line="2" w:lineRule="exact"/>
        <w:rPr>
          <w:rFonts w:ascii="Symbol" w:cs="Symbol" w:eastAsia="Symbol" w:hAnsi="Symbol"/>
          <w:sz w:val="22"/>
          <w:szCs w:val="22"/>
          <w:color w:val="auto"/>
        </w:rPr>
      </w:pPr>
    </w:p>
    <w:p>
      <w:pPr xmlns:w="http://schemas.openxmlformats.org/wordprocessingml/2006/main">
        <w:ind w:left="220" w:hanging="214"/>
        <w:spacing w:after="0"/>
        <w:tabs>
          <w:tab w:leader="none" w:pos="220" w:val="left"/>
        </w:tabs>
        <w:numPr>
          <w:ilvl w:val="0"/>
          <w:numId w:val="1"/>
        </w:numPr>
        <w:rPr>
          <w:rFonts w:ascii="Symbol" w:cs="Symbol" w:eastAsia="Symbol" w:hAnsi="Symbol"/>
          <w:sz w:val="22"/>
          <w:szCs w:val="22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Prawo podatkowe w państwie członkowskim pochodzenia inwestora może mieć wpływ na jego zwrot.</w:t>
      </w:r>
    </w:p>
    <w:p>
      <w:pPr>
        <w:spacing w:after="0" w:line="26" w:lineRule="exact"/>
        <w:rPr>
          <w:rFonts w:ascii="Symbol" w:cs="Symbol" w:eastAsia="Symbol" w:hAnsi="Symbol"/>
          <w:sz w:val="22"/>
          <w:szCs w:val="22"/>
          <w:color w:val="auto"/>
        </w:rPr>
      </w:pPr>
    </w:p>
    <w:p>
      <w:pPr xmlns:w="http://schemas.openxmlformats.org/wordprocessingml/2006/main">
        <w:ind w:left="220" w:hanging="214"/>
        <w:spacing w:after="0" w:line="218" w:lineRule="auto"/>
        <w:tabs>
          <w:tab w:leader="none" w:pos="220" w:val="left"/>
        </w:tabs>
        <w:numPr>
          <w:ilvl w:val="0"/>
          <w:numId w:val="1"/>
        </w:numPr>
        <w:rPr>
          <w:rFonts w:ascii="Symbol" w:cs="Symbol" w:eastAsia="Symbol" w:hAnsi="Symbol"/>
          <w:sz w:val="22"/>
          <w:szCs w:val="22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Bądź świadomy ryzyka walutowego.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 Złożone czynniki mogą mieć wpływ na wartość waluty bazowej i handlowej</w:t>
      </w:r>
    </w:p>
    <w:p>
      <w:pPr>
        <w:spacing w:after="0" w:line="78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jc w:val="center"/>
        <w:ind w:right="140"/>
        <w:spacing w:after="0" w:line="217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czynników politycznych i gospodarczych.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 Dodatkowo płatności gotówkowe będą rozliczane w dolarach amerykańskich, a więc wyniki inwestycji mogą się zmieniać w zależności od wahań kursów walut.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 Ryzyko to nie jest uwzględniane we wskaźniku powyżej.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 Scenariusze wyników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(Przykłady nie obejmują kosztów prowizji, podatków i innych kosztów transakcyjnych, które</w:t>
      </w:r>
    </w:p>
    <w:p>
      <w:pPr>
        <w:spacing w:after="0" w:line="1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może mieć wpływ na wartość transakcji i pozycję opcyjną.)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3175</wp:posOffset>
                </wp:positionH>
                <wp:positionV relativeFrom="paragraph">
                  <wp:posOffset>16510</wp:posOffset>
                </wp:positionV>
                <wp:extent cx="6545580" cy="0"/>
                <wp:wrapNone/>
                <wp:docPr id="18" name="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4558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8" o:spid="_x0000_s1043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0.25pt,1.3pt" to="515.65pt,1.3pt" o:allowincell="f" strokecolor="#000000" strokeweight="0.48pt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6350</wp:posOffset>
                </wp:positionH>
                <wp:positionV relativeFrom="paragraph">
                  <wp:posOffset>13335</wp:posOffset>
                </wp:positionV>
                <wp:extent cx="0" cy="2212975"/>
                <wp:wrapNone/>
                <wp:docPr id="19" name="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221297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9" o:spid="_x0000_s1044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0.5pt,1.05pt" to="0.5pt,175.3pt" o:allowincell="f" strokecolor="#000000" strokeweight="0.4799pt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3935095</wp:posOffset>
                </wp:positionH>
                <wp:positionV relativeFrom="paragraph">
                  <wp:posOffset>13335</wp:posOffset>
                </wp:positionV>
                <wp:extent cx="0" cy="2212975"/>
                <wp:wrapNone/>
                <wp:docPr id="20" name="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221297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0" o:spid="_x0000_s1045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309.85pt,1.05pt" to="309.85pt,175.3pt" o:allowincell="f" strokecolor="#000000" strokeweight="0.4799pt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6545580</wp:posOffset>
                </wp:positionH>
                <wp:positionV relativeFrom="paragraph">
                  <wp:posOffset>13335</wp:posOffset>
                </wp:positionV>
                <wp:extent cx="0" cy="2212975"/>
                <wp:wrapNone/>
                <wp:docPr id="21" name="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221297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1" o:spid="_x0000_s1046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515.4pt,1.05pt" to="515.4pt,175.3pt" o:allowincell="f" strokecolor="#000000" strokeweight="0.4799pt"/>
            </w:pict>
          </mc:Fallback>
        </mc:AlternateContent>
      </w:r>
    </w:p>
    <w:p>
      <w:pPr>
        <w:sectPr>
          <w:pgSz w:w="12240" w:h="15840" w:orient="portrait"/>
          <w:cols w:equalWidth="0" w:num="1">
            <w:col w:w="10320"/>
          </w:cols>
          <w:pgMar w:left="940" w:top="634" w:right="980" w:bottom="128" w:gutter="0" w:footer="0" w:header="0"/>
        </w:sectPr>
      </w:pPr>
    </w:p>
    <w:p>
      <w:pPr>
        <w:spacing w:after="0" w:line="164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jc w:val="center"/>
        <w:ind w:left="34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16"/>
          <w:szCs w:val="16"/>
          <w:color w:val="595959"/>
        </w:rPr>
        <w:t xml:space="preserve">P/L z napisania rozmowy walutowej (Premium $400*; Cena ćwiczenia 1.30)</w:t>
      </w:r>
    </w:p>
    <w:p>
      <w:pPr>
        <w:spacing w:after="0" w:line="130" w:lineRule="exact"/>
        <w:rPr>
          <w:sz w:val="20"/>
          <w:szCs w:val="20"/>
          <w:color w:val="auto"/>
        </w:rPr>
      </w:pPr>
    </w:p>
    <w:tbl>
      <w:tblPr>
        <w:tblLayout w:type="fixed"/>
        <w:tblInd w:w="40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20"/>
        </w:trPr>
        <w:tc>
          <w:tcPr>
            <w:tcW w:w="1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 xmlns:w="http://schemas.openxmlformats.org/wordprocessingml/2006/main"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595959"/>
              </w:rPr>
              <w:t xml:space="preserve">600 $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6"/>
        </w:trPr>
        <w:tc>
          <w:tcPr>
            <w:tcW w:w="1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 xmlns:w="http://schemas.openxmlformats.org/wordprocessingml/2006/main"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595959"/>
              </w:rPr>
              <w:t xml:space="preserve">400 $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4"/>
        </w:trPr>
        <w:tc>
          <w:tcPr>
            <w:tcW w:w="180" w:type="dxa"/>
            <w:vAlign w:val="bottom"/>
            <w:vMerge w:val="restart"/>
            <w:textDirection w:val="btLr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6"/>
                <w:szCs w:val="16"/>
                <w:color w:val="595959"/>
                <w:w w:val="95"/>
              </w:rPr>
              <w:t xml:space="preserve">* P/L</w:t>
            </w:r>
          </w:p>
        </w:tc>
        <w:tc>
          <w:tcPr>
            <w:tcW w:w="480" w:type="dxa"/>
            <w:vAlign w:val="bottom"/>
          </w:tcPr>
          <w:p>
            <w:pPr xmlns:w="http://schemas.openxmlformats.org/wordprocessingml/2006/main"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595959"/>
              </w:rPr>
              <w:t xml:space="preserve">200 $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3"/>
        </w:trPr>
        <w:tc>
          <w:tcPr>
            <w:tcW w:w="180" w:type="dxa"/>
            <w:vAlign w:val="bottom"/>
            <w:vMerge w:val="continue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80" w:type="dxa"/>
            <w:vAlign w:val="bottom"/>
            <w:vMerge w:val="restart"/>
          </w:tcPr>
          <w:p>
            <w:pPr xmlns:w="http://schemas.openxmlformats.org/wordprocessingml/2006/main"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595959"/>
              </w:rPr>
              <w:t xml:space="preserve">0 $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3"/>
        </w:trPr>
        <w:tc>
          <w:tcPr>
            <w:tcW w:w="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4"/>
        </w:trPr>
        <w:tc>
          <w:tcPr>
            <w:tcW w:w="1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 xmlns:w="http://schemas.openxmlformats.org/wordprocessingml/2006/main"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595959"/>
              </w:rPr>
              <w:t xml:space="preserve">- 200 $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6"/>
        </w:trPr>
        <w:tc>
          <w:tcPr>
            <w:tcW w:w="1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 xmlns:w="http://schemas.openxmlformats.org/wordprocessingml/2006/main"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595959"/>
              </w:rPr>
              <w:t xml:space="preserve">- 400 $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765175</wp:posOffset>
            </wp:positionH>
            <wp:positionV relativeFrom="paragraph">
              <wp:posOffset>-929640</wp:posOffset>
            </wp:positionV>
            <wp:extent cx="2865755" cy="882650"/>
            <wp:wrapNone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5755" cy="882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 xmlns:w="http://schemas.openxmlformats.org/wordprocessingml/2006/main">
        <w:jc w:val="right"/>
        <w:spacing w:after="0"/>
        <w:tabs>
          <w:tab w:leader="none" w:pos="4040" w:val="left"/>
          <w:tab w:leader="none" w:pos="3280" w:val="left"/>
          <w:tab w:leader="none" w:pos="2540" w:val="left"/>
          <w:tab w:leader="none" w:pos="1800" w:val="left"/>
          <w:tab w:leader="none" w:pos="1040" w:val="left"/>
          <w:tab w:leader="none" w:pos="300" w:val="left"/>
        </w:tabs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18"/>
          <w:szCs w:val="18"/>
          <w:color w:val="595959"/>
        </w:rPr>
        <w:t xml:space="preserve">1,26</w:t>
        <w:tab xmlns:w="http://schemas.openxmlformats.org/wordprocessingml/2006/main"/>
      </w:r>
      <w:r>
        <w:rPr xmlns:w="http://schemas.openxmlformats.org/wordprocessingml/2006/main">
          <w:rFonts w:ascii="Calibri" w:cs="Calibri" w:eastAsia="Calibri" w:hAnsi="Calibri"/>
          <w:sz w:val="18"/>
          <w:szCs w:val="18"/>
          <w:color w:val="595959"/>
        </w:rPr>
        <w:t xml:space="preserve">1,28</w:t>
        <w:tab xmlns:w="http://schemas.openxmlformats.org/wordprocessingml/2006/main"/>
      </w:r>
      <w:r>
        <w:rPr xmlns:w="http://schemas.openxmlformats.org/wordprocessingml/2006/main">
          <w:rFonts w:ascii="Calibri" w:cs="Calibri" w:eastAsia="Calibri" w:hAnsi="Calibri"/>
          <w:sz w:val="18"/>
          <w:szCs w:val="18"/>
          <w:color w:val="595959"/>
        </w:rPr>
        <w:t xml:space="preserve">1,30</w:t>
        <w:tab xmlns:w="http://schemas.openxmlformats.org/wordprocessingml/2006/main"/>
      </w:r>
      <w:r>
        <w:rPr xmlns:w="http://schemas.openxmlformats.org/wordprocessingml/2006/main">
          <w:rFonts w:ascii="Calibri" w:cs="Calibri" w:eastAsia="Calibri" w:hAnsi="Calibri"/>
          <w:sz w:val="18"/>
          <w:szCs w:val="18"/>
          <w:color w:val="595959"/>
        </w:rPr>
        <w:t xml:space="preserve">1,32</w:t>
        <w:tab xmlns:w="http://schemas.openxmlformats.org/wordprocessingml/2006/main"/>
      </w:r>
      <w:r>
        <w:rPr xmlns:w="http://schemas.openxmlformats.org/wordprocessingml/2006/main">
          <w:rFonts w:ascii="Calibri" w:cs="Calibri" w:eastAsia="Calibri" w:hAnsi="Calibri"/>
          <w:sz w:val="18"/>
          <w:szCs w:val="18"/>
          <w:color w:val="595959"/>
        </w:rPr>
        <w:t xml:space="preserve">1,34</w:t>
        <w:tab xmlns:w="http://schemas.openxmlformats.org/wordprocessingml/2006/main"/>
      </w:r>
      <w:r>
        <w:rPr xmlns:w="http://schemas.openxmlformats.org/wordprocessingml/2006/main">
          <w:rFonts w:ascii="Calibri" w:cs="Calibri" w:eastAsia="Calibri" w:hAnsi="Calibri"/>
          <w:sz w:val="18"/>
          <w:szCs w:val="18"/>
          <w:color w:val="595959"/>
        </w:rPr>
        <w:t xml:space="preserve">1,36</w:t>
        <w:tab xmlns:w="http://schemas.openxmlformats.org/wordprocessingml/2006/main"/>
      </w:r>
      <w:r>
        <w:rPr xmlns:w="http://schemas.openxmlformats.org/wordprocessingml/2006/main">
          <w:rFonts w:ascii="Calibri" w:cs="Calibri" w:eastAsia="Calibri" w:hAnsi="Calibri"/>
          <w:sz w:val="18"/>
          <w:szCs w:val="18"/>
          <w:color w:val="595959"/>
        </w:rPr>
        <w:t xml:space="preserve">1,38</w:t>
      </w:r>
    </w:p>
    <w:p>
      <w:pPr>
        <w:spacing w:after="0" w:line="62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274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16"/>
          <w:szCs w:val="16"/>
          <w:color w:val="595959"/>
        </w:rPr>
        <w:t xml:space="preserve">EUR/USD (instrument bazowy)</w:t>
      </w:r>
    </w:p>
    <w:p>
      <w:pPr>
        <w:spacing w:after="0" w:line="261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12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16"/>
          <w:szCs w:val="16"/>
          <w:color w:val="auto"/>
        </w:rPr>
        <w:t xml:space="preserve">* Jak przedstawiono, składka i wartość p/l zakładają wielkość kontraktu 10 000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3175</wp:posOffset>
                </wp:positionH>
                <wp:positionV relativeFrom="paragraph">
                  <wp:posOffset>299085</wp:posOffset>
                </wp:positionV>
                <wp:extent cx="6545580" cy="0"/>
                <wp:wrapNone/>
                <wp:docPr id="23" name="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4558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3" o:spid="_x0000_s1048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0.25pt,23.55pt" to="515.65pt,23.55pt" o:allowincell="f" strokecolor="#000000" strokeweight="0.48pt"/>
            </w:pict>
          </mc:Fallback>
        </mc:AlternateContent>
      </w:r>
    </w:p>
    <w:p>
      <w:pPr xmlns:w="http://schemas.openxmlformats.org/wordprocessingml/2006/main">
        <w:spacing w:after="0" w:line="20" w:lineRule="exact"/>
        <w:rPr>
          <w:sz w:val="20"/>
          <w:szCs w:val="20"/>
          <w:color w:val="auto"/>
        </w:rPr>
      </w:pPr>
      <w:r>
        <w:rPr xmlns:w="http://schemas.openxmlformats.org/wordprocessingml/2006/main">
          <w:sz w:val="20"/>
          <w:szCs w:val="20"/>
          <w:color w:val="auto"/>
        </w:rPr>
        <w:br xmlns:w="http://schemas.openxmlformats.org/wordprocessingml/2006/main" w:type="column"/>
      </w: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14"/>
          <w:szCs w:val="14"/>
          <w:u w:val="single" w:color="auto"/>
          <w:color w:val="auto"/>
        </w:rPr>
        <w:t xml:space="preserve">P/L Mechanizm Stressed Market Underlying Move (</w:t>
      </w:r>
      <w:r>
        <w:rPr xmlns:w="http://schemas.openxmlformats.org/wordprocessingml/2006/main">
          <w:rFonts w:ascii="Calibri" w:cs="Calibri" w:eastAsia="Calibri" w:hAnsi="Calibri"/>
          <w:sz w:val="14"/>
          <w:szCs w:val="14"/>
          <w:u w:val="single" w:color="auto"/>
          <w:color w:val="FF0000"/>
        </w:rPr>
        <w:t xml:space="preserve">Czerwony Punkt Wykresu</w:t>
      </w:r>
      <w:r>
        <w:rPr xmlns:w="http://schemas.openxmlformats.org/wordprocessingml/2006/main">
          <w:rFonts w:ascii="Calibri" w:cs="Calibri" w:eastAsia="Calibri" w:hAnsi="Calibri"/>
          <w:sz w:val="14"/>
          <w:szCs w:val="14"/>
          <w:u w:val="single" w:color="auto"/>
          <w:color w:val="auto"/>
        </w:rPr>
        <w:t xml:space="preserve">)</w:t>
      </w:r>
    </w:p>
    <w:p>
      <w:pPr>
        <w:spacing w:after="0" w:line="60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14"/>
          <w:szCs w:val="14"/>
          <w:color w:val="auto"/>
        </w:rPr>
        <w:t xml:space="preserve">Cena rynkowa: $1.36 za Euro</w:t>
      </w:r>
    </w:p>
    <w:p>
      <w:pPr>
        <w:spacing w:after="0" w:line="89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300" w:right="340" w:hanging="150"/>
        <w:spacing w:after="0" w:line="223" w:lineRule="auto"/>
        <w:tabs>
          <w:tab w:leader="none" w:pos="300" w:val="left"/>
        </w:tabs>
        <w:numPr>
          <w:ilvl w:val="0"/>
          <w:numId w:val="2"/>
        </w:numPr>
        <w:rPr>
          <w:rFonts w:ascii="Symbol" w:cs="Symbol" w:eastAsia="Symbol" w:hAnsi="Symbol"/>
          <w:sz w:val="14"/>
          <w:szCs w:val="14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14"/>
          <w:szCs w:val="14"/>
          <w:color w:val="auto"/>
        </w:rPr>
        <w:t xml:space="preserve">Niekorzystny dla pisarza: - $200, co oznacza obowiązek dostarczenia 10,000 euro za 1,30 dolara amerykańskiego każdy (gdy dominująca cena rynkowa wynosi 1,36 dolara amerykańskiego każdy) plus 400 dolarów premii</w:t>
      </w:r>
    </w:p>
    <w:p>
      <w:pPr>
        <w:spacing w:after="0" w:line="145" w:lineRule="exact"/>
        <w:rPr>
          <w:rFonts w:ascii="Symbol" w:cs="Symbol" w:eastAsia="Symbol" w:hAnsi="Symbol"/>
          <w:sz w:val="14"/>
          <w:szCs w:val="14"/>
          <w:color w:val="auto"/>
        </w:rPr>
      </w:pPr>
    </w:p>
    <w:p>
      <w:pPr xmlns:w="http://schemas.openxmlformats.org/wordprocessingml/2006/main">
        <w:ind w:left="300" w:right="280" w:hanging="150"/>
        <w:spacing w:after="0" w:line="222" w:lineRule="auto"/>
        <w:tabs>
          <w:tab w:leader="none" w:pos="300" w:val="left"/>
        </w:tabs>
        <w:numPr>
          <w:ilvl w:val="0"/>
          <w:numId w:val="2"/>
        </w:numPr>
        <w:rPr>
          <w:rFonts w:ascii="Symbol" w:cs="Symbol" w:eastAsia="Symbol" w:hAnsi="Symbol"/>
          <w:sz w:val="14"/>
          <w:szCs w:val="14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14"/>
          <w:szCs w:val="14"/>
          <w:color w:val="auto"/>
        </w:rPr>
        <w:t xml:space="preserve">Korzystny dla posiadacza: +$200, reprezentujący prawo do otrzymania 10,000 euro za 1,30 dolara amerykańskiego każdy (gdy dominująca cena rynkowa wynosi 1,36 dolara amerykańskiego każdy), pomniejszony o 400 dolarów premii</w:t>
      </w:r>
    </w:p>
    <w:p>
      <w:pPr>
        <w:spacing w:after="0" w:line="100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14"/>
          <w:szCs w:val="14"/>
          <w:u w:val="single" w:color="auto"/>
          <w:color w:val="auto"/>
        </w:rPr>
        <w:t xml:space="preserve">P/L Umiarkowane Przesunięcie Rynkowe (</w:t>
      </w:r>
      <w:r>
        <w:rPr xmlns:w="http://schemas.openxmlformats.org/wordprocessingml/2006/main">
          <w:rFonts w:ascii="Calibri" w:cs="Calibri" w:eastAsia="Calibri" w:hAnsi="Calibri"/>
          <w:sz w:val="14"/>
          <w:szCs w:val="14"/>
          <w:u w:val="single" w:color="auto"/>
          <w:color w:val="00B050"/>
        </w:rPr>
        <w:t xml:space="preserve">Zielony Punkt Działki</w:t>
      </w:r>
      <w:r>
        <w:rPr xmlns:w="http://schemas.openxmlformats.org/wordprocessingml/2006/main">
          <w:rFonts w:ascii="Calibri" w:cs="Calibri" w:eastAsia="Calibri" w:hAnsi="Calibri"/>
          <w:sz w:val="14"/>
          <w:szCs w:val="14"/>
          <w:u w:val="single" w:color="auto"/>
          <w:color w:val="auto"/>
        </w:rPr>
        <w:t xml:space="preserve">)</w:t>
      </w:r>
    </w:p>
    <w:p>
      <w:pPr>
        <w:spacing w:after="0" w:line="60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14"/>
          <w:szCs w:val="14"/>
          <w:color w:val="auto"/>
        </w:rPr>
        <w:t xml:space="preserve">Cena rynkowa: $1.29 za Euro</w:t>
      </w:r>
    </w:p>
    <w:p>
      <w:pPr>
        <w:spacing w:after="0" w:line="40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300" w:hanging="150"/>
        <w:spacing w:after="0"/>
        <w:tabs>
          <w:tab w:leader="none" w:pos="300" w:val="left"/>
        </w:tabs>
        <w:numPr>
          <w:ilvl w:val="0"/>
          <w:numId w:val="3"/>
        </w:numPr>
        <w:rPr>
          <w:rFonts w:ascii="Symbol" w:cs="Symbol" w:eastAsia="Symbol" w:hAnsi="Symbol"/>
          <w:sz w:val="14"/>
          <w:szCs w:val="14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14"/>
          <w:szCs w:val="14"/>
          <w:color w:val="auto"/>
        </w:rPr>
        <w:t xml:space="preserve">Korzystny dla pisarza: + 400 $ otrzymanie premii</w:t>
      </w:r>
    </w:p>
    <w:p>
      <w:pPr>
        <w:spacing w:after="0" w:line="40" w:lineRule="exact"/>
        <w:rPr>
          <w:rFonts w:ascii="Symbol" w:cs="Symbol" w:eastAsia="Symbol" w:hAnsi="Symbol"/>
          <w:sz w:val="14"/>
          <w:szCs w:val="14"/>
          <w:color w:val="auto"/>
        </w:rPr>
      </w:pPr>
    </w:p>
    <w:p>
      <w:pPr xmlns:w="http://schemas.openxmlformats.org/wordprocessingml/2006/main">
        <w:ind w:left="300" w:hanging="150"/>
        <w:spacing w:after="0"/>
        <w:tabs>
          <w:tab w:leader="none" w:pos="300" w:val="left"/>
        </w:tabs>
        <w:numPr>
          <w:ilvl w:val="0"/>
          <w:numId w:val="3"/>
        </w:numPr>
        <w:rPr>
          <w:rFonts w:ascii="Symbol" w:cs="Symbol" w:eastAsia="Symbol" w:hAnsi="Symbol"/>
          <w:sz w:val="14"/>
          <w:szCs w:val="14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14"/>
          <w:szCs w:val="14"/>
          <w:color w:val="auto"/>
        </w:rPr>
        <w:t xml:space="preserve">Niekorzystny dla posiadacza: - 400 USD premii</w:t>
      </w:r>
    </w:p>
    <w:p>
      <w:pPr>
        <w:spacing w:after="0" w:line="101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right="240"/>
        <w:spacing w:after="0" w:line="220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14"/>
          <w:szCs w:val="14"/>
          <w:u w:val="single" w:color="auto"/>
          <w:color w:val="auto"/>
        </w:rPr>
        <w:t xml:space="preserve">Wartość progu rentowności występuje, gdy dominująca cena rynkowa instrumentu bazowego jest wyższa niż cena wykonania, tak że wartość P/L wynosi zero zarówno dla emitenta, jak i dla posiadacza.</w:t>
      </w:r>
    </w:p>
    <w:p>
      <w:pPr>
        <w:spacing w:after="0" w:line="108" w:lineRule="exact"/>
        <w:rPr>
          <w:sz w:val="20"/>
          <w:szCs w:val="20"/>
          <w:color w:val="auto"/>
        </w:rPr>
      </w:pPr>
    </w:p>
    <w:p>
      <w:pPr>
        <w:sectPr>
          <w:pgSz w:w="12240" w:h="15840" w:orient="portrait"/>
          <w:cols w:equalWidth="0" w:num="2">
            <w:col w:w="5860" w:space="440"/>
            <w:col w:w="4020"/>
          </w:cols>
          <w:pgMar w:left="940" w:top="634" w:right="980" w:bottom="128" w:gutter="0" w:footer="0" w:header="0"/>
          <w:type w:val="continuous"/>
        </w:sectPr>
      </w:pPr>
    </w:p>
    <w:p>
      <w:pPr xmlns:w="http://schemas.openxmlformats.org/wordprocessingml/2006/main">
        <w:spacing w:after="0" w:line="231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Wykres ilustruje, jak Twoja inwestycja może się sprawdzić.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Można to porównać do wykresów wypłat dla innych instrumentów pochodnych.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Wykres przedstawia szereg możliwych wyników i nie jest dokładną wskazówką, co możesz otrzymać.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Inwestowanie w ten produkt oznacza, że uważasz, że cena bazowa spadnie.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To, co otrzymasz różni się w zależności od tego, jak wartość instrumentu bazowego zmienia się w czasie, co zależy od przyszłych wyników rynkowych, które są niepewne i nie można ich przewidzieć.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Dla dwóch wartości instrumentu bazowego wykres pokazuje, jaki byłby zysk lub strata produktu.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Oś pozioma pokazuje możliwe wartości linii bazowej, a oś pionowa pokazuje zysk lub stratę opcji.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Przedstawione dane liczbowe obejmują wszystkie koszty samego produktu, ale mogą nie obejmować wszystkich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-67945</wp:posOffset>
                </wp:positionH>
                <wp:positionV relativeFrom="paragraph">
                  <wp:posOffset>20320</wp:posOffset>
                </wp:positionV>
                <wp:extent cx="6689725" cy="0"/>
                <wp:wrapNone/>
                <wp:docPr id="24" name="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8972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4" o:spid="_x0000_s1049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-5.3499pt,1.6pt" to="521.4pt,1.6pt" o:allowincell="f" strokecolor="#000000" strokeweight="0.48pt"/>
            </w:pict>
          </mc:Fallback>
        </mc:AlternateContent>
      </w:r>
    </w:p>
    <w:p>
      <w:pPr>
        <w:sectPr>
          <w:pgSz w:w="12240" w:h="15840" w:orient="portrait"/>
          <w:cols w:equalWidth="0" w:num="1">
            <w:col w:w="10320"/>
          </w:cols>
          <w:pgMar w:left="940" w:top="634" w:right="980" w:bottom="128" w:gutter="0" w:footer="0" w:header="0"/>
          <w:type w:val="continuous"/>
        </w:sectPr>
      </w:pPr>
    </w:p>
    <w:bookmarkStart w:id="2" w:name="page3"/>
    <w:bookmarkEnd w:id="2"/>
    <w:p>
      <w:pPr xmlns:w="http://schemas.openxmlformats.org/wordprocessingml/2006/main">
        <w:ind w:left="220" w:right="500"/>
        <w:spacing w:after="0" w:line="210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528320</wp:posOffset>
                </wp:positionH>
                <wp:positionV relativeFrom="page">
                  <wp:posOffset>414020</wp:posOffset>
                </wp:positionV>
                <wp:extent cx="6690360" cy="0"/>
                <wp:wrapNone/>
                <wp:docPr id="25" name="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669036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25" o:spid="_x0000_s1050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41.6pt,32.6pt" to="568.4pt,32.6pt" o:allowincell="f" strokecolor="#000000" strokeweight="0.4799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528320</wp:posOffset>
                </wp:positionH>
                <wp:positionV relativeFrom="page">
                  <wp:posOffset>762000</wp:posOffset>
                </wp:positionV>
                <wp:extent cx="6690360" cy="0"/>
                <wp:wrapNone/>
                <wp:docPr id="26" name="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669036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26" o:spid="_x0000_s1051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41.6pt,60pt" to="568.4pt,60pt" o:allowincell="f" strokecolor="#000000" strokeweight="0.4799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528320</wp:posOffset>
                </wp:positionH>
                <wp:positionV relativeFrom="page">
                  <wp:posOffset>6572885</wp:posOffset>
                </wp:positionV>
                <wp:extent cx="6690360" cy="0"/>
                <wp:wrapNone/>
                <wp:docPr id="27" name="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669036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27" o:spid="_x0000_s1052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41.6pt,517.55pt" to="568.4pt,517.55pt" o:allowincell="f" strokecolor="#000000" strokeweight="0.4799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528320</wp:posOffset>
                </wp:positionH>
                <wp:positionV relativeFrom="page">
                  <wp:posOffset>8113395</wp:posOffset>
                </wp:positionV>
                <wp:extent cx="6690360" cy="0"/>
                <wp:wrapNone/>
                <wp:docPr id="28" name="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669036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28" o:spid="_x0000_s1053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41.6pt,638.85pt" to="568.4pt,638.85pt" o:allowincell="f" strokecolor="#000000" strokeweight="0.4799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531495</wp:posOffset>
                </wp:positionH>
                <wp:positionV relativeFrom="page">
                  <wp:posOffset>411480</wp:posOffset>
                </wp:positionV>
                <wp:extent cx="0" cy="8985250"/>
                <wp:wrapNone/>
                <wp:docPr id="29" name="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4763" cy="898525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29" o:spid="_x0000_s1054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41.85pt,32.4pt" to="41.85pt,739.9pt" o:allowincell="f" strokecolor="#000000" strokeweight="0.4799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7216140</wp:posOffset>
                </wp:positionH>
                <wp:positionV relativeFrom="page">
                  <wp:posOffset>411480</wp:posOffset>
                </wp:positionV>
                <wp:extent cx="0" cy="8985250"/>
                <wp:wrapNone/>
                <wp:docPr id="30" name="Shap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4763" cy="898525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30" o:spid="_x0000_s1055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68.2pt,32.4pt" to="568.2pt,739.9pt" o:allowincell="f" strokecolor="#000000" strokeweight="0.4799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koszty, które ponosisz na rzecz swojego doradcy lub dystrybutora i nie uwzględniają Twojej osobistej sytuacji podatkowej, która może mieć również wpływ na wysokość otrzymywanych przez Ciebie kwot.</w:t>
      </w:r>
    </w:p>
    <w:p>
      <w:pPr>
        <w:spacing w:after="0" w:line="77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220" w:right="160"/>
        <w:spacing w:after="0" w:line="234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Co się stanie, jeśli OCC nie będzie w stanie wypłacić?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Zasady UOKiK zostały zaprojektowane w taki sposób, aby wyniki dotyczące wszystkich opcji były pomiędzy UOKiK a grupą firm maklerskich zwanych członkami rozliczającymi, które posiadają pozycje wszystkich posiadaczy opcji i emitentów na swoich rachunkach UOKiK.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Członkowie rozliczający muszą spełniać wymogi finansowe UOKiK w zakresie uczestnictwa oraz ustanawiać zabezpieczenia dla pozycji emitentów opcji, które są przez nich notowane.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Biuro maklerskie emitenta może wymagać od inwestora dostarczenia powiązanych zabezpieczeń w związku z pozycjami, jak opisano poniżej.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W procesie nowacji prawnej OCC staje się kupującym dla każdego sprzedającego członka rozliczającego, a sprzedającym dla każdego kupującego członka rozliczającego.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System ten ma na celu wsparcie realizacji opcji oraz zarządzanie ryzykiem kontrahenta, aby ułatwić rozrachunek transakcji opcjami w przypadku, gdy członek rozliczający nie wywiązuje się ze swoich zobowiązań.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Istnieje jednak ryzyko, że OCC może nie mieć wystarczających środków finansowych na uregulowanie zobowiązań i możesz ponieść stratę do wysokości każdej kwoty należnej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Ci 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u w:val="single" w:color="auto"/>
          <w:color w:val="auto"/>
        </w:rPr>
        <w:t xml:space="preserve">z tytułu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zobowiązania.</w:t>
      </w:r>
    </w:p>
    <w:p>
      <w:pPr>
        <w:spacing w:after="0" w:line="2" w:lineRule="exact"/>
        <w:rPr>
          <w:sz w:val="20"/>
          <w:szCs w:val="20"/>
          <w:color w:val="auto"/>
        </w:rPr>
      </w:pPr>
    </w:p>
    <w:tbl>
      <w:tblPr>
        <w:tblLayout w:type="fixed"/>
        <w:tblInd w:w="12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80"/>
        </w:trPr>
        <w:tc>
          <w:tcPr>
            <w:tcW w:w="5200" w:type="dxa"/>
            <w:vAlign w:val="bottom"/>
            <w:tcBorders>
              <w:top w:val="single" w:sz="8" w:color="auto"/>
              <w:right w:val="single" w:sz="8" w:color="auto"/>
            </w:tcBorders>
          </w:tcPr>
          <w:p>
            <w:pPr xmlns:w="http://schemas.openxmlformats.org/wordprocessingml/2006/main">
              <w:ind w:left="100"/>
              <w:spacing w:after="0" w:line="257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b w:val="1"/>
                <w:bCs w:val="1"/>
                <w:color w:val="auto"/>
              </w:rPr>
              <w:t xml:space="preserve">Jakie są koszty?</w:t>
            </w: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 Osoba doradzająca lub sprzedająca</w:t>
            </w:r>
          </w:p>
        </w:tc>
        <w:tc>
          <w:tcPr>
            <w:tcW w:w="100" w:type="dxa"/>
            <w:vAlign w:val="bottom"/>
            <w:tcBorders>
              <w:top w:val="single" w:sz="8" w:color="auto"/>
              <w:bottom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top w:val="single" w:sz="8" w:color="auto"/>
              <w:bottom w:val="single" w:sz="8" w:color="auto"/>
              <w:right w:val="single" w:sz="8" w:color="DADADA"/>
            </w:tcBorders>
            <w:shd w:val="clear" w:color="auto" w:fill="DADADA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b w:val="1"/>
                <w:bCs w:val="1"/>
                <w:color w:val="auto"/>
              </w:rPr>
              <w:t xml:space="preserve">Koszty W Czasie</w:t>
            </w:r>
          </w:p>
        </w:tc>
        <w:tc>
          <w:tcPr>
            <w:tcW w:w="80" w:type="dxa"/>
            <w:vAlign w:val="bottom"/>
            <w:tcBorders>
              <w:top w:val="single" w:sz="8" w:color="auto"/>
              <w:bottom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top w:val="single" w:sz="8" w:color="auto"/>
              <w:bottom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top w:val="single" w:sz="8" w:color="auto"/>
              <w:bottom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top w:val="single" w:sz="8" w:color="auto"/>
              <w:bottom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top w:val="single" w:sz="8" w:color="auto"/>
              <w:bottom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top w:val="single" w:sz="8" w:color="auto"/>
              <w:bottom w:val="single" w:sz="8" w:color="auto"/>
              <w:right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top w:val="single" w:sz="8" w:color="auto"/>
              <w:bottom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top w:val="single" w:sz="8" w:color="auto"/>
              <w:bottom w:val="single" w:sz="8" w:color="auto"/>
              <w:right w:val="single" w:sz="8" w:color="auto"/>
            </w:tcBorders>
            <w:shd w:val="clear" w:color="auto" w:fill="DADADA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Zakończenie pracy</w:t>
            </w:r>
          </w:p>
        </w:tc>
        <w:tc>
          <w:tcPr>
            <w:tcW w:w="140" w:type="dxa"/>
            <w:vAlign w:val="bottom"/>
            <w:tcBorders>
              <w:top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9"/>
        </w:trPr>
        <w:tc>
          <w:tcPr>
            <w:tcW w:w="5200" w:type="dxa"/>
            <w:vAlign w:val="bottom"/>
            <w:tcBorders>
              <w:right w:val="single" w:sz="8" w:color="auto"/>
            </w:tcBorders>
          </w:tcPr>
          <w:p>
            <w:pPr xmlns:w="http://schemas.openxmlformats.org/wordprocessingml/2006/main">
              <w:ind w:left="100"/>
              <w:spacing w:after="0" w:line="225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Ten produkt może obciążać Cię innymi kosztami.</w:t>
            </w: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 Jeżeli tak,</w:t>
            </w:r>
          </w:p>
        </w:tc>
        <w:tc>
          <w:tcPr>
            <w:tcW w:w="1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auto"/>
            </w:tcBorders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Koszty ogółem</w:t>
            </w:r>
          </w:p>
        </w:tc>
        <w:tc>
          <w:tcPr>
            <w:tcW w:w="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Różne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4"/>
        </w:trPr>
        <w:tc>
          <w:tcPr>
            <w:tcW w:w="5200" w:type="dxa"/>
            <w:vAlign w:val="bottom"/>
            <w:tcBorders>
              <w:right w:val="single" w:sz="8" w:color="auto"/>
            </w:tcBorders>
          </w:tcPr>
          <w:p>
            <w:pPr xmlns:w="http://schemas.openxmlformats.org/wordprocessingml/2006/main">
              <w:ind w:left="100"/>
              <w:spacing w:after="0" w:line="225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Osoba ta przekaże Ci informacje na temat</w:t>
            </w:r>
          </w:p>
        </w:tc>
        <w:tc>
          <w:tcPr>
            <w:tcW w:w="1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auto"/>
            </w:tcBorders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  <w:w w:val="98"/>
              </w:rPr>
              <w:t xml:space="preserve">Roczny wpływ na koszty</w:t>
            </w:r>
          </w:p>
        </w:tc>
        <w:tc>
          <w:tcPr>
            <w:tcW w:w="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Różne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9"/>
        </w:trPr>
        <w:tc>
          <w:tcPr>
            <w:tcW w:w="5200" w:type="dxa"/>
            <w:vAlign w:val="bottom"/>
          </w:tcPr>
          <w:p>
            <w:pPr xmlns:w="http://schemas.openxmlformats.org/wordprocessingml/2006/main">
              <w:ind w:left="100"/>
              <w:spacing w:after="0" w:line="230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te koszty i ich wpływ na Twoją inwestycję.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4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4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9"/>
        </w:trPr>
        <w:tc>
          <w:tcPr>
            <w:tcW w:w="5200" w:type="dxa"/>
            <w:vAlign w:val="bottom"/>
            <w:tcBorders>
              <w:right w:val="single" w:sz="8" w:color="auto"/>
            </w:tcBorders>
          </w:tcPr>
          <w:p>
            <w:pPr xmlns:w="http://schemas.openxmlformats.org/wordprocessingml/2006/main">
              <w:ind w:left="100"/>
              <w:spacing w:after="0" w:line="240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Łączne koszty standardowych opcji walutowych zależą</w:t>
            </w:r>
          </w:p>
        </w:tc>
        <w:tc>
          <w:tcPr>
            <w:tcW w:w="100" w:type="dxa"/>
            <w:vAlign w:val="bottom"/>
            <w:tcBorders>
              <w:top w:val="single" w:sz="8" w:color="auto"/>
              <w:bottom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600" w:type="dxa"/>
            <w:vAlign w:val="bottom"/>
            <w:tcBorders>
              <w:top w:val="single" w:sz="8" w:color="auto"/>
              <w:bottom w:val="single" w:sz="8" w:color="auto"/>
              <w:right w:val="single" w:sz="8" w:color="DADADA"/>
            </w:tcBorders>
            <w:gridSpan w:val="7"/>
            <w:shd w:val="clear" w:color="auto" w:fill="DADADA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b w:val="1"/>
                <w:bCs w:val="1"/>
                <w:color w:val="auto"/>
              </w:rPr>
              <w:t xml:space="preserve">Struktura kosztów</w:t>
            </w:r>
          </w:p>
        </w:tc>
        <w:tc>
          <w:tcPr>
            <w:tcW w:w="80" w:type="dxa"/>
            <w:vAlign w:val="bottom"/>
            <w:tcBorders>
              <w:top w:val="single" w:sz="8" w:color="auto"/>
              <w:bottom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top w:val="single" w:sz="8" w:color="auto"/>
              <w:bottom w:val="single" w:sz="8" w:color="auto"/>
              <w:right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9"/>
        </w:trPr>
        <w:tc>
          <w:tcPr>
            <w:tcW w:w="5200" w:type="dxa"/>
            <w:vAlign w:val="bottom"/>
            <w:tcBorders>
              <w:right w:val="single" w:sz="8" w:color="auto"/>
            </w:tcBorders>
          </w:tcPr>
          <w:p>
            <w:pPr xmlns:w="http://schemas.openxmlformats.org/wordprocessingml/2006/main">
              <w:ind w:left="100"/>
              <w:spacing w:after="0" w:line="240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na wiele czynników.</w:t>
            </w: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 Premia opcyjna to koszt</w:t>
            </w:r>
          </w:p>
        </w:tc>
        <w:tc>
          <w:tcPr>
            <w:tcW w:w="100" w:type="dxa"/>
            <w:vAlign w:val="bottom"/>
            <w:tcBorders>
              <w:bottom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480" w:type="dxa"/>
            <w:vAlign w:val="bottom"/>
            <w:tcBorders>
              <w:bottom w:val="single" w:sz="8" w:color="auto"/>
            </w:tcBorders>
            <w:gridSpan w:val="6"/>
            <w:shd w:val="clear" w:color="auto" w:fill="DADADA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Jednorazowe koszty przy wjeździe lub wyjeździe</w:t>
            </w:r>
          </w:p>
        </w:tc>
        <w:tc>
          <w:tcPr>
            <w:tcW w:w="12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DADADA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Kwota (początkowa)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0"/>
        </w:trPr>
        <w:tc>
          <w:tcPr>
            <w:tcW w:w="5200" w:type="dxa"/>
            <w:vAlign w:val="bottom"/>
            <w:tcBorders>
              <w:right w:val="single" w:sz="8" w:color="auto"/>
            </w:tcBorders>
          </w:tcPr>
          <w:p>
            <w:pPr xmlns:w="http://schemas.openxmlformats.org/wordprocessingml/2006/main">
              <w:ind w:left="100"/>
              <w:spacing w:after="0" w:line="240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wpłacone przez posiadacza na rzecz autora.</w:t>
            </w: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 Czynniki mające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80" w:type="dxa"/>
            <w:vAlign w:val="bottom"/>
            <w:tcBorders>
              <w:right w:val="single" w:sz="8" w:color="auto"/>
            </w:tcBorders>
            <w:gridSpan w:val="5"/>
          </w:tcPr>
          <w:p>
            <w:pPr xmlns:w="http://schemas.openxmlformats.org/wordprocessingml/2006/main">
              <w:spacing w:after="0" w:line="205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Premia (określona przez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5200" w:type="dxa"/>
            <w:vAlign w:val="bottom"/>
            <w:tcBorders>
              <w:right w:val="single" w:sz="8" w:color="auto"/>
            </w:tcBorders>
            <w:vMerge w:val="restart"/>
          </w:tcPr>
          <w:p>
            <w:pPr xmlns:w="http://schemas.openxmlformats.org/wordprocessingml/2006/main">
              <w:ind w:left="100"/>
              <w:spacing w:after="0" w:line="267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istotny wpływ na składkę obejmuje, ale nie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</w:tcPr>
          <w:p>
            <w:pPr xmlns:w="http://schemas.openxmlformats.org/wordprocessingml/2006/main">
              <w:spacing w:after="0" w:line="184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Koszty wejścia (na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80" w:type="dxa"/>
            <w:vAlign w:val="bottom"/>
            <w:tcBorders>
              <w:right w:val="single" w:sz="8" w:color="auto"/>
            </w:tcBorders>
            <w:gridSpan w:val="5"/>
          </w:tcPr>
          <w:p>
            <w:pPr xmlns:w="http://schemas.openxmlformats.org/wordprocessingml/2006/main">
              <w:spacing w:after="0" w:line="184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kupującego i sprzedającego),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3"/>
        </w:trPr>
        <w:tc>
          <w:tcPr>
            <w:tcW w:w="520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vMerge w:val="restart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Transakcja —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80" w:type="dxa"/>
            <w:vAlign w:val="bottom"/>
            <w:tcBorders>
              <w:right w:val="single" w:sz="8" w:color="auto"/>
            </w:tcBorders>
            <w:gridSpan w:val="5"/>
            <w:vMerge w:val="restart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Komisja (ustalona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8"/>
        </w:trPr>
        <w:tc>
          <w:tcPr>
            <w:tcW w:w="5200" w:type="dxa"/>
            <w:vAlign w:val="bottom"/>
            <w:tcBorders>
              <w:right w:val="single" w:sz="8" w:color="auto"/>
            </w:tcBorders>
            <w:vMerge w:val="restart"/>
          </w:tcPr>
          <w:p>
            <w:pPr xmlns:w="http://schemas.openxmlformats.org/wordprocessingml/2006/main"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są ograniczone do względnych wartości instrumentu bazowego i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80" w:type="dxa"/>
            <w:vAlign w:val="bottom"/>
            <w:tcBorders>
              <w:right w:val="single" w:sz="8" w:color="auto"/>
            </w:tcBorders>
            <w:gridSpan w:val="5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520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vMerge w:val="restart"/>
          </w:tcPr>
          <w:p>
            <w:pPr xmlns:w="http://schemas.openxmlformats.org/wordprocessingml/2006/main">
              <w:spacing w:after="0" w:line="218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otwarcie (wejście)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80" w:type="dxa"/>
            <w:vAlign w:val="bottom"/>
            <w:tcBorders>
              <w:right w:val="single" w:sz="8" w:color="auto"/>
            </w:tcBorders>
            <w:gridSpan w:val="5"/>
            <w:vMerge w:val="restart"/>
          </w:tcPr>
          <w:p>
            <w:pPr xmlns:w="http://schemas.openxmlformats.org/wordprocessingml/2006/main">
              <w:spacing w:after="0" w:line="218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przez biuro maklerskie)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right w:val="single" w:sz="8" w:color="auto"/>
            </w:tcBorders>
            <w:vMerge w:val="restart"/>
          </w:tcPr>
          <w:p>
            <w:pPr xmlns:w="http://schemas.openxmlformats.org/wordprocessingml/2006/main">
              <w:spacing w:after="0" w:line="218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Zmienna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3"/>
        </w:trPr>
        <w:tc>
          <w:tcPr>
            <w:tcW w:w="5200" w:type="dxa"/>
            <w:vAlign w:val="bottom"/>
            <w:tcBorders>
              <w:right w:val="single" w:sz="8" w:color="auto"/>
            </w:tcBorders>
            <w:vMerge w:val="restart"/>
          </w:tcPr>
          <w:p>
            <w:pPr xmlns:w="http://schemas.openxmlformats.org/wordprocessingml/2006/main"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obrót walutami, czas do wygaśnięcia opcji,</w:t>
            </w:r>
          </w:p>
        </w:tc>
        <w:tc>
          <w:tcPr>
            <w:tcW w:w="1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auto"/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80" w:type="dxa"/>
            <w:vAlign w:val="bottom"/>
            <w:tcBorders>
              <w:bottom w:val="single" w:sz="8" w:color="auto"/>
              <w:right w:val="single" w:sz="8" w:color="auto"/>
            </w:tcBorders>
            <w:gridSpan w:val="5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auto"/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520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vMerge w:val="restart"/>
          </w:tcPr>
          <w:p>
            <w:pPr xmlns:w="http://schemas.openxmlformats.org/wordprocessingml/2006/main">
              <w:spacing w:after="0" w:line="205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Koszty wyjścia (na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9"/>
        </w:trPr>
        <w:tc>
          <w:tcPr>
            <w:tcW w:w="52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1"/>
        </w:trPr>
        <w:tc>
          <w:tcPr>
            <w:tcW w:w="5200" w:type="dxa"/>
            <w:vAlign w:val="bottom"/>
            <w:tcBorders>
              <w:right w:val="single" w:sz="8" w:color="auto"/>
            </w:tcBorders>
          </w:tcPr>
          <w:p>
            <w:pPr xmlns:w="http://schemas.openxmlformats.org/wordprocessingml/2006/main">
              <w:ind w:left="100"/>
              <w:spacing w:after="0" w:line="210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i ceny wykonania.</w:t>
            </w: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 Opcje inwestycji obejmują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Transakcja —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6"/>
        </w:trPr>
        <w:tc>
          <w:tcPr>
            <w:tcW w:w="5200" w:type="dxa"/>
            <w:vAlign w:val="bottom"/>
            <w:tcBorders>
              <w:right w:val="single" w:sz="8" w:color="auto"/>
            </w:tcBorders>
          </w:tcPr>
          <w:p>
            <w:pPr xmlns:w="http://schemas.openxmlformats.org/wordprocessingml/2006/main">
              <w:ind w:left="100"/>
              <w:spacing w:after="0" w:line="234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dodatkowe koszty uwzględniające kwestie podatkowe,</w:t>
            </w:r>
          </w:p>
        </w:tc>
        <w:tc>
          <w:tcPr>
            <w:tcW w:w="1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 xmlns:w="http://schemas.openxmlformats.org/wordprocessingml/2006/main">
              <w:spacing w:after="0" w:line="218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zamykanie (wyjście)</w:t>
            </w:r>
          </w:p>
        </w:tc>
        <w:tc>
          <w:tcPr>
            <w:tcW w:w="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80" w:type="dxa"/>
            <w:vAlign w:val="bottom"/>
            <w:tcBorders>
              <w:bottom w:val="single" w:sz="8" w:color="auto"/>
              <w:right w:val="single" w:sz="8" w:color="auto"/>
            </w:tcBorders>
            <w:gridSpan w:val="5"/>
          </w:tcPr>
          <w:p>
            <w:pPr xmlns:w="http://schemas.openxmlformats.org/wordprocessingml/2006/main">
              <w:spacing w:after="0" w:line="218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Premium, Komisja</w:t>
            </w:r>
          </w:p>
        </w:tc>
        <w:tc>
          <w:tcPr>
            <w:tcW w:w="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 xmlns:w="http://schemas.openxmlformats.org/wordprocessingml/2006/main">
              <w:spacing w:after="0" w:line="218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Zmienna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2"/>
        </w:trPr>
        <w:tc>
          <w:tcPr>
            <w:tcW w:w="5200" w:type="dxa"/>
            <w:vAlign w:val="bottom"/>
            <w:tcBorders>
              <w:right w:val="single" w:sz="8" w:color="auto"/>
            </w:tcBorders>
            <w:vMerge w:val="restart"/>
          </w:tcPr>
          <w:p>
            <w:pPr xmlns:w="http://schemas.openxmlformats.org/wordprocessingml/2006/main"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koszty transakcyjne i wymagania dotyczące marży, które mogą</w:t>
            </w:r>
          </w:p>
        </w:tc>
        <w:tc>
          <w:tcPr>
            <w:tcW w:w="100" w:type="dxa"/>
            <w:vAlign w:val="bottom"/>
            <w:shd w:val="clear" w:color="auto" w:fill="DADADA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DADADA"/>
            </w:tcBorders>
            <w:shd w:val="clear" w:color="auto" w:fill="DADADA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" w:type="dxa"/>
            <w:vAlign w:val="bottom"/>
            <w:shd w:val="clear" w:color="auto" w:fill="DADADA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40" w:type="dxa"/>
            <w:vAlign w:val="bottom"/>
            <w:shd w:val="clear" w:color="auto" w:fill="DADADA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80" w:type="dxa"/>
            <w:vAlign w:val="bottom"/>
            <w:shd w:val="clear" w:color="auto" w:fill="DADADA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960" w:type="dxa"/>
            <w:vAlign w:val="bottom"/>
            <w:shd w:val="clear" w:color="auto" w:fill="DADADA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80" w:type="dxa"/>
            <w:vAlign w:val="bottom"/>
            <w:shd w:val="clear" w:color="auto" w:fill="DADADA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right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" w:type="dxa"/>
            <w:vAlign w:val="bottom"/>
            <w:shd w:val="clear" w:color="auto" w:fill="DADADA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right w:val="single" w:sz="8" w:color="auto"/>
            </w:tcBorders>
            <w:shd w:val="clear" w:color="auto" w:fill="DADADA"/>
          </w:tcPr>
          <w:p>
            <w:pPr xmlns:w="http://schemas.openxmlformats.org/wordprocessingml/2006/main">
              <w:spacing w:after="0" w:line="203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Kwota (w dowolnej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8"/>
        </w:trPr>
        <w:tc>
          <w:tcPr>
            <w:tcW w:w="520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shd w:val="clear" w:color="auto" w:fill="DADADA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DADADA"/>
            </w:tcBorders>
            <w:vMerge w:val="restart"/>
            <w:shd w:val="clear" w:color="auto" w:fill="DADADA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Koszty Bieżące</w:t>
            </w:r>
          </w:p>
        </w:tc>
        <w:tc>
          <w:tcPr>
            <w:tcW w:w="80" w:type="dxa"/>
            <w:vAlign w:val="bottom"/>
            <w:shd w:val="clear" w:color="auto" w:fill="DADADA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40" w:type="dxa"/>
            <w:vAlign w:val="bottom"/>
            <w:shd w:val="clear" w:color="auto" w:fill="DADADA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80" w:type="dxa"/>
            <w:vAlign w:val="bottom"/>
            <w:shd w:val="clear" w:color="auto" w:fill="DADADA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60" w:type="dxa"/>
            <w:vAlign w:val="bottom"/>
            <w:shd w:val="clear" w:color="auto" w:fill="DADADA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  <w:shd w:val="clear" w:color="auto" w:fill="DADADA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right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  <w:shd w:val="clear" w:color="auto" w:fill="DADADA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right w:val="single" w:sz="8" w:color="auto"/>
            </w:tcBorders>
            <w:vMerge w:val="restart"/>
            <w:shd w:val="clear" w:color="auto" w:fill="DADADA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czasu)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8"/>
        </w:trPr>
        <w:tc>
          <w:tcPr>
            <w:tcW w:w="5200" w:type="dxa"/>
            <w:vAlign w:val="bottom"/>
            <w:tcBorders>
              <w:right w:val="single" w:sz="8" w:color="auto"/>
            </w:tcBorders>
            <w:vMerge w:val="restart"/>
          </w:tcPr>
          <w:p>
            <w:pPr xmlns:w="http://schemas.openxmlformats.org/wordprocessingml/2006/main"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istotnie wpływają na wynik finansowy.</w:t>
            </w: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 Koszty transakcyjne</w:t>
            </w:r>
          </w:p>
        </w:tc>
        <w:tc>
          <w:tcPr>
            <w:tcW w:w="100" w:type="dxa"/>
            <w:vAlign w:val="bottom"/>
            <w:tcBorders>
              <w:bottom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auto"/>
              <w:right w:val="single" w:sz="8" w:color="DADADA"/>
            </w:tcBorders>
            <w:vMerge w:val="continue"/>
            <w:shd w:val="clear" w:color="auto" w:fill="DADADA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auto"/>
              <w:right w:val="single" w:sz="8" w:color="auto"/>
            </w:tcBorders>
            <w:vMerge w:val="continue"/>
            <w:shd w:val="clear" w:color="auto" w:fill="DADADA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1"/>
        </w:trPr>
        <w:tc>
          <w:tcPr>
            <w:tcW w:w="520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vMerge w:val="restart"/>
          </w:tcPr>
          <w:p>
            <w:pPr xmlns:w="http://schemas.openxmlformats.org/wordprocessingml/2006/main">
              <w:spacing w:after="0" w:line="205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Zarządzanie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4"/>
        </w:trPr>
        <w:tc>
          <w:tcPr>
            <w:tcW w:w="5200" w:type="dxa"/>
            <w:vAlign w:val="bottom"/>
            <w:tcBorders>
              <w:right w:val="single" w:sz="8" w:color="auto"/>
            </w:tcBorders>
            <w:vMerge w:val="restart"/>
          </w:tcPr>
          <w:p>
            <w:pPr xmlns:w="http://schemas.openxmlformats.org/wordprocessingml/2006/main"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składają się głównie z prowizji (które są nakładane)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5"/>
        </w:trPr>
        <w:tc>
          <w:tcPr>
            <w:tcW w:w="520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vMerge w:val="restart"/>
          </w:tcPr>
          <w:p>
            <w:pPr xmlns:w="http://schemas.openxmlformats.org/wordprocessingml/2006/main">
              <w:spacing w:after="0" w:line="218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Opłaty i inne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3"/>
        </w:trPr>
        <w:tc>
          <w:tcPr>
            <w:tcW w:w="5200" w:type="dxa"/>
            <w:vAlign w:val="bottom"/>
            <w:tcBorders>
              <w:right w:val="single" w:sz="8" w:color="auto"/>
            </w:tcBorders>
            <w:vMerge w:val="restart"/>
          </w:tcPr>
          <w:p>
            <w:pPr xmlns:w="http://schemas.openxmlformats.org/wordprocessingml/2006/main"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w otwieraniu, zamykaniu, wykonywaniu i przydzielaniu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1"/>
        </w:trPr>
        <w:tc>
          <w:tcPr>
            <w:tcW w:w="520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administracyjne lub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80" w:type="dxa"/>
            <w:vAlign w:val="bottom"/>
            <w:tcBorders>
              <w:right w:val="single" w:sz="8" w:color="auto"/>
            </w:tcBorders>
            <w:gridSpan w:val="5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Nie ma zarządzania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6"/>
        </w:trPr>
        <w:tc>
          <w:tcPr>
            <w:tcW w:w="5200" w:type="dxa"/>
            <w:vAlign w:val="bottom"/>
            <w:tcBorders>
              <w:right w:val="single" w:sz="8" w:color="auto"/>
            </w:tcBorders>
          </w:tcPr>
          <w:p>
            <w:pPr xmlns:w="http://schemas.openxmlformats.org/wordprocessingml/2006/main">
              <w:ind w:left="100"/>
              <w:spacing w:after="0" w:line="205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transakcji), ale może również zawierać depozyt zabezpieczający oraz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</w:tcPr>
          <w:p>
            <w:pPr xmlns:w="http://schemas.openxmlformats.org/wordprocessingml/2006/main">
              <w:spacing w:after="0" w:line="206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koszty operacyjne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auto"/>
            </w:tcBorders>
          </w:tcPr>
          <w:p>
            <w:pPr xmlns:w="http://schemas.openxmlformats.org/wordprocessingml/2006/main">
              <w:spacing w:after="0" w:line="185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  <w:w w:val="93"/>
              </w:rPr>
              <w:t xml:space="preserve">opłata</w:t>
            </w: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0" w:type="dxa"/>
            <w:vAlign w:val="bottom"/>
            <w:tcBorders>
              <w:right w:val="single" w:sz="8" w:color="auto"/>
            </w:tcBorders>
            <w:gridSpan w:val="2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right w:val="single" w:sz="8" w:color="auto"/>
            </w:tcBorders>
          </w:tcPr>
          <w:p>
            <w:pPr xmlns:w="http://schemas.openxmlformats.org/wordprocessingml/2006/main">
              <w:spacing w:after="0" w:line="206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NIE DOTYCZY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5200" w:type="dxa"/>
            <w:vAlign w:val="bottom"/>
            <w:tcBorders>
              <w:right w:val="single" w:sz="8" w:color="auto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auto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auto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080" w:type="dxa"/>
            <w:vAlign w:val="bottom"/>
            <w:tcBorders>
              <w:bottom w:val="single" w:sz="8" w:color="auto"/>
              <w:right w:val="single" w:sz="8" w:color="auto"/>
            </w:tcBorders>
            <w:gridSpan w:val="5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auto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4"/>
        </w:trPr>
        <w:tc>
          <w:tcPr>
            <w:tcW w:w="5200" w:type="dxa"/>
            <w:vAlign w:val="bottom"/>
            <w:tcBorders>
              <w:right w:val="single" w:sz="8" w:color="auto"/>
            </w:tcBorders>
          </w:tcPr>
          <w:p>
            <w:pPr xmlns:w="http://schemas.openxmlformats.org/wordprocessingml/2006/main">
              <w:ind w:left="100"/>
              <w:spacing w:after="0" w:line="244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koszty odsetek.</w:t>
            </w: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 Depozyt zabezpieczający oznacza aktywa, które należy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80" w:type="dxa"/>
            <w:vAlign w:val="bottom"/>
            <w:tcBorders>
              <w:right w:val="single" w:sz="8" w:color="auto"/>
            </w:tcBorders>
            <w:gridSpan w:val="5"/>
          </w:tcPr>
          <w:p>
            <w:pPr xmlns:w="http://schemas.openxmlformats.org/wordprocessingml/2006/main">
              <w:spacing w:after="0" w:line="193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Depozyt zabezpieczający (wymagania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5200" w:type="dxa"/>
            <w:vAlign w:val="bottom"/>
            <w:tcBorders>
              <w:right w:val="single" w:sz="8" w:color="auto"/>
            </w:tcBorders>
            <w:vMerge w:val="restart"/>
          </w:tcPr>
          <w:p>
            <w:pPr xmlns:w="http://schemas.openxmlformats.org/wordprocessingml/2006/main"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zdeponowane przez pisarza w jego firmie maklerskiej jako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80" w:type="dxa"/>
            <w:vAlign w:val="bottom"/>
            <w:tcBorders>
              <w:right w:val="single" w:sz="8" w:color="auto"/>
            </w:tcBorders>
            <w:gridSpan w:val="5"/>
          </w:tcPr>
          <w:p>
            <w:pPr xmlns:w="http://schemas.openxmlformats.org/wordprocessingml/2006/main">
              <w:spacing w:after="0" w:line="169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mogą ulec zmianie, oraz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right w:val="single" w:sz="8" w:color="auto"/>
            </w:tcBorders>
          </w:tcPr>
          <w:p>
            <w:pPr xmlns:w="http://schemas.openxmlformats.org/wordprocessingml/2006/main">
              <w:spacing w:after="0" w:line="169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Zmienna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520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vMerge w:val="restart"/>
          </w:tcPr>
          <w:p>
            <w:pPr xmlns:w="http://schemas.openxmlformats.org/wordprocessingml/2006/main">
              <w:spacing w:after="0" w:line="206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Koszty transakcyjne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80" w:type="dxa"/>
            <w:vAlign w:val="bottom"/>
            <w:tcBorders>
              <w:right w:val="single" w:sz="8" w:color="auto"/>
            </w:tcBorders>
            <w:gridSpan w:val="5"/>
            <w:vMerge w:val="restart"/>
          </w:tcPr>
          <w:p>
            <w:pPr xmlns:w="http://schemas.openxmlformats.org/wordprocessingml/2006/main">
              <w:spacing w:after="0" w:line="206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może się różnić w zależności od rodzaju pośrednictwa)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right w:val="single" w:sz="8" w:color="auto"/>
            </w:tcBorders>
            <w:vMerge w:val="restart"/>
          </w:tcPr>
          <w:p>
            <w:pPr xmlns:w="http://schemas.openxmlformats.org/wordprocessingml/2006/main">
              <w:spacing w:after="0" w:line="206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(w toku)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6"/>
        </w:trPr>
        <w:tc>
          <w:tcPr>
            <w:tcW w:w="5200" w:type="dxa"/>
            <w:vAlign w:val="bottom"/>
            <w:tcBorders>
              <w:right w:val="single" w:sz="8" w:color="auto"/>
            </w:tcBorders>
            <w:vMerge w:val="restart"/>
          </w:tcPr>
          <w:p>
            <w:pPr xmlns:w="http://schemas.openxmlformats.org/wordprocessingml/2006/main"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zabezpieczenie zobowiązania, stosownie do przypadku, do zakupu lub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80" w:type="dxa"/>
            <w:vAlign w:val="bottom"/>
            <w:tcBorders>
              <w:right w:val="single" w:sz="8" w:color="auto"/>
            </w:tcBorders>
            <w:gridSpan w:val="5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520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auto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auto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auto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auto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top w:val="single" w:sz="8" w:color="auto"/>
              <w:bottom w:val="single" w:sz="8" w:color="auto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auto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auto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3"/>
        </w:trPr>
        <w:tc>
          <w:tcPr>
            <w:tcW w:w="520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  <w:shd w:val="clear" w:color="auto" w:fill="DADADA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480" w:type="dxa"/>
            <w:vAlign w:val="bottom"/>
            <w:gridSpan w:val="6"/>
            <w:vMerge w:val="restart"/>
            <w:shd w:val="clear" w:color="auto" w:fill="DADADA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  <w:highlight w:val="lightGray"/>
              </w:rPr>
              <w:t xml:space="preserve">Koszty uboczne ponoszone na określonych warunkach</w:t>
            </w:r>
          </w:p>
        </w:tc>
        <w:tc>
          <w:tcPr>
            <w:tcW w:w="120" w:type="dxa"/>
            <w:vAlign w:val="bottom"/>
            <w:tcBorders>
              <w:right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  <w:shd w:val="clear" w:color="auto" w:fill="DADADA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right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5"/>
        </w:trPr>
        <w:tc>
          <w:tcPr>
            <w:tcW w:w="5200" w:type="dxa"/>
            <w:vAlign w:val="bottom"/>
            <w:tcBorders>
              <w:right w:val="single" w:sz="8" w:color="auto"/>
            </w:tcBorders>
            <w:vMerge w:val="restart"/>
          </w:tcPr>
          <w:p>
            <w:pPr xmlns:w="http://schemas.openxmlformats.org/wordprocessingml/2006/main"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sprzedać odsetki bazowe lub zapłacić rozliczenie pieniężne</w:t>
            </w:r>
          </w:p>
        </w:tc>
        <w:tc>
          <w:tcPr>
            <w:tcW w:w="100" w:type="dxa"/>
            <w:vAlign w:val="bottom"/>
            <w:tcBorders>
              <w:bottom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480" w:type="dxa"/>
            <w:vAlign w:val="bottom"/>
            <w:tcBorders>
              <w:bottom w:val="single" w:sz="8" w:color="auto"/>
            </w:tcBorders>
            <w:gridSpan w:val="6"/>
            <w:vMerge w:val="continue"/>
            <w:shd w:val="clear" w:color="auto" w:fill="DADADA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4"/>
        </w:trPr>
        <w:tc>
          <w:tcPr>
            <w:tcW w:w="520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vMerge w:val="restart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Opłaty za wyniki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80" w:type="dxa"/>
            <w:vAlign w:val="bottom"/>
            <w:tcBorders>
              <w:right w:val="single" w:sz="8" w:color="auto"/>
            </w:tcBorders>
            <w:gridSpan w:val="5"/>
            <w:vMerge w:val="restart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Brak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right w:val="single" w:sz="8" w:color="auto"/>
            </w:tcBorders>
            <w:vMerge w:val="restart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NIE DOTYCZY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4"/>
        </w:trPr>
        <w:tc>
          <w:tcPr>
            <w:tcW w:w="5200" w:type="dxa"/>
            <w:vAlign w:val="bottom"/>
            <w:tcBorders>
              <w:right w:val="single" w:sz="8" w:color="auto"/>
            </w:tcBorders>
          </w:tcPr>
          <w:p>
            <w:pPr xmlns:w="http://schemas.openxmlformats.org/wordprocessingml/2006/main">
              <w:ind w:left="100"/>
              <w:spacing w:after="0" w:line="214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kwoty.</w:t>
            </w: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 W przypadku wykonania i przypisania opcji</w:t>
            </w:r>
          </w:p>
        </w:tc>
        <w:tc>
          <w:tcPr>
            <w:tcW w:w="1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auto"/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80" w:type="dxa"/>
            <w:vAlign w:val="bottom"/>
            <w:tcBorders>
              <w:bottom w:val="single" w:sz="8" w:color="auto"/>
              <w:right w:val="single" w:sz="8" w:color="auto"/>
            </w:tcBorders>
            <w:gridSpan w:val="5"/>
            <w:vMerge w:val="continue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auto"/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102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jc w:val="both"/>
        <w:ind w:left="220" w:right="220"/>
        <w:spacing w:after="0" w:line="210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Pisarz może ponieść dodatkowe koszty.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Niezależnie od kosztów inwestorskich, OCC pobiera związane z tym opłaty za rozliczenie tego produktu swoim członkom rozliczającym, ale nie bezpośrednio Tobie: 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u w:val="single" w:color="auto"/>
          <w:color w:val="0563C1"/>
        </w:rPr>
        <w:t xml:space="preserve">https://www.theocc.com/company-information/schedule-of-fees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.</w:t>
      </w:r>
    </w:p>
    <w:p>
      <w:pPr>
        <w:spacing w:after="0" w:line="11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22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Jak długo mam go trzymać i czy mogę wcześnie wyjść z transakcji (czy mogę wcześniej wyjąć pieniądze)?</w:t>
      </w:r>
    </w:p>
    <w:p>
      <w:pPr>
        <w:spacing w:after="0" w:line="67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220" w:right="200"/>
        <w:spacing w:after="0" w:line="232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Zalecany okres przechowywania: Brak.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Decyzja o wykonaniu opcji jest dla posiadacza kluczową decyzją inwestycyjną, podobnie jak decyzja zarówno posiadaczy opcji, jak i emitentów o zamknięciu istniejącej pozycji opcyjnej przed wygaśnięciem opcji lub jej wykonaniem i przypisaniem poprzez zawarcie transakcji zamknięcia.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W związku z tym inwestorzy ponoszą wyłączną odpowiedzialność za ustalenie, czy i kiedy powinni wykonać swoją umowę (umowy) opcji oraz czy zamknąć istniejącą pozycję opcyjną.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Inwestorzy, którzy zamykają istniejącą pozycję opcyjną, rezygnują z wszelkich późniejszych zysków lub strat związanych z tą opcją.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Wszystkie opcje mają datę wygaśnięcia, po której opcja nie będzie miała wartości i nie będzie już istnieć.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Posiadacze opcji w stylu amerykańskim, którzy chcą skorzystać z nich przed upływem terminu ważności, mogą to zrobić, przekazując brokerowi instrukcje dotyczące wykonania opcji, zgodnie z procedurą brokera.</w:t>
      </w:r>
    </w:p>
    <w:p>
      <w:pPr>
        <w:spacing w:after="0" w:line="81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220" w:right="460"/>
        <w:spacing w:after="0" w:line="220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Jak mogę złożyć skargę?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Inwestorzy mogą kontaktować się z OCC pod adresem 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u w:val="single" w:color="auto"/>
          <w:color w:val="0563C1"/>
        </w:rPr>
        <w:t xml:space="preserve">investorservices@theocc.com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Inwestorzy mogą również złożyć skargę do Urzędu Regulacji Sektora Finansowego ("FINRA") (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u w:val="single" w:color="auto"/>
          <w:color w:val="0563C1"/>
        </w:rPr>
        <w:t xml:space="preserve">http://www.finra.org/investors/investor-complaint-center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000000"/>
        </w:rPr>
        <w:t xml:space="preserve">) lub SEC (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u w:val="single" w:color="auto"/>
          <w:color w:val="0563C1"/>
        </w:rPr>
        <w:t xml:space="preserve">https://www.sec.gov/oiea/Complaint.html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000000"/>
        </w:rPr>
        <w:t xml:space="preserve">).</w:t>
      </w:r>
    </w:p>
    <w:p>
      <w:pPr>
        <w:spacing w:after="0" w:line="16" w:lineRule="exact"/>
        <w:rPr>
          <w:sz w:val="20"/>
          <w:szCs w:val="20"/>
          <w:color w:val="auto"/>
        </w:rPr>
      </w:pPr>
    </w:p>
    <w:tbl>
      <w:tblPr>
        <w:tblLayout w:type="fixed"/>
        <w:tblInd w:w="34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85"/>
        </w:trPr>
        <w:tc>
          <w:tcPr>
            <w:tcW w:w="4680" w:type="dxa"/>
            <w:vAlign w:val="bottom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Centrum Reklamacji Inwestorów FINRA</w:t>
            </w:r>
          </w:p>
        </w:tc>
        <w:tc>
          <w:tcPr>
            <w:tcW w:w="4520" w:type="dxa"/>
            <w:vAlign w:val="bottom"/>
          </w:tcPr>
          <w:p>
            <w:pPr xmlns:w="http://schemas.openxmlformats.org/wordprocessingml/2006/main"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Komisja Papierów Wartościowych i Giełd USA</w:t>
            </w:r>
          </w:p>
        </w:tc>
      </w:tr>
      <w:tr>
        <w:trPr>
          <w:trHeight w:val="300"/>
        </w:trPr>
        <w:tc>
          <w:tcPr>
            <w:tcW w:w="4680" w:type="dxa"/>
            <w:vAlign w:val="bottom"/>
          </w:tcPr>
          <w:p>
            <w:pPr xmlns:w="http://schemas.openxmlformats.org/wordprocessingml/2006/main"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9509 Key West Avenue</w:t>
            </w:r>
          </w:p>
        </w:tc>
        <w:tc>
          <w:tcPr>
            <w:tcW w:w="4520" w:type="dxa"/>
            <w:vAlign w:val="bottom"/>
          </w:tcPr>
          <w:p>
            <w:pPr xmlns:w="http://schemas.openxmlformats.org/wordprocessingml/2006/main"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Biuro Edukacji i Rzecznictwa Inwestorskiego</w:t>
            </w:r>
          </w:p>
        </w:tc>
      </w:tr>
      <w:tr>
        <w:trPr>
          <w:trHeight w:val="300"/>
        </w:trPr>
        <w:tc>
          <w:tcPr>
            <w:tcW w:w="4680" w:type="dxa"/>
            <w:vAlign w:val="bottom"/>
          </w:tcPr>
          <w:p>
            <w:pPr xmlns:w="http://schemas.openxmlformats.org/wordprocessingml/2006/main"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Rockville, MD 20850-3329</w:t>
            </w:r>
          </w:p>
        </w:tc>
        <w:tc>
          <w:tcPr>
            <w:tcW w:w="4520" w:type="dxa"/>
            <w:vAlign w:val="bottom"/>
          </w:tcPr>
          <w:p>
            <w:pPr xmlns:w="http://schemas.openxmlformats.org/wordprocessingml/2006/main"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100 F Street, Gdzie Indziej Niewymienione.</w:t>
            </w:r>
          </w:p>
        </w:tc>
      </w:tr>
      <w:tr>
        <w:trPr>
          <w:trHeight w:val="300"/>
        </w:trPr>
        <w:tc>
          <w:tcPr>
            <w:tcW w:w="4680" w:type="dxa"/>
            <w:vAlign w:val="bottom"/>
          </w:tcPr>
          <w:p>
            <w:pPr xmlns:w="http://schemas.openxmlformats.org/wordprocessingml/2006/main"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Telefon: (240) 386-HELP (4357) Faks: (866) 397-3290</w:t>
            </w:r>
          </w:p>
        </w:tc>
        <w:tc>
          <w:tcPr>
            <w:tcW w:w="4520" w:type="dxa"/>
            <w:vAlign w:val="bottom"/>
          </w:tcPr>
          <w:p>
            <w:pPr xmlns:w="http://schemas.openxmlformats.org/wordprocessingml/2006/main"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  <w:w w:val="99"/>
              </w:rPr>
              <w:t xml:space="preserve">Waszyngton, DC 20549-0213 Faks: (202) 772-9295</w:t>
            </w:r>
          </w:p>
        </w:tc>
      </w:tr>
    </w:tbl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71120</wp:posOffset>
                </wp:positionH>
                <wp:positionV relativeFrom="paragraph">
                  <wp:posOffset>16510</wp:posOffset>
                </wp:positionV>
                <wp:extent cx="6690360" cy="0"/>
                <wp:wrapNone/>
                <wp:docPr id="31" name="Shap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9036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1" o:spid="_x0000_s1056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5.6pt,1.3pt" to="532.4pt,1.3pt" o:allowincell="f" strokecolor="#000000" strokeweight="0.4799pt"/>
            </w:pict>
          </mc:Fallback>
        </mc:AlternateContent>
      </w: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©2023 The Options Clearing Corporation.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Wszelkie prawa zastrzeżone.</w:t>
      </w:r>
    </w:p>
    <w:sectPr>
      <w:pgSz w:w="12240" w:h="15840" w:orient="portrait"/>
      <w:cols w:equalWidth="0" w:num="1">
        <w:col w:w="10640"/>
      </w:cols>
      <w:pgMar w:left="720" w:top="702" w:right="880" w:bottom="23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auto"/>
    <w:pitch w:val="variable"/>
    <w:sig w:usb0="00000000" w:usb1="00000000" w:usb2="00000000" w:usb3="00000000" w:csb0="80000000" w:csb1="00000000"/>
  </w:font>
</w:fonts>
</file>

<file path=word/numbering.xml><?xml version="1.0" encoding="utf-8"?>
<w:numbering xmlns:w="http://schemas.openxmlformats.org/wordprocessingml/2006/main">
  <w:abstractNum w:abstractNumId="0">
    <w:nsid w:val="1BB40163"/>
    <w:multiLevelType w:val="hybridMultilevel"/>
    <w:lvl w:ilvl="0">
      <w:lvlJc w:val="left"/>
      <w:lvlText w:val="·"/>
      <w:numFmt w:val="bullet"/>
      <w:start w:val="1"/>
    </w:lvl>
  </w:abstractNum>
  <w:abstractNum w:abstractNumId="1">
    <w:nsid w:val="5F158CFF"/>
    <w:multiLevelType w:val="hybridMultilevel"/>
    <w:lvl w:ilvl="0">
      <w:lvlJc w:val="left"/>
      <w:lvlText w:val="·"/>
      <w:numFmt w:val="bullet"/>
      <w:start w:val="1"/>
    </w:lvl>
  </w:abstractNum>
  <w:abstractNum w:abstractNumId="2">
    <w:nsid w:val="186B862A"/>
    <w:multiLevelType w:val="hybridMultilevel"/>
    <w:lvl w:ilvl="0">
      <w:lvlJc w:val="left"/>
      <w:lvlText w:val="·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webSettings" Target="webSettings.xml"/><Relationship Id="rId11" Type="http://schemas.openxmlformats.org/officeDocument/2006/relationships/numbering" Target="numbering.xml"/><Relationship Id="rId12" Type="http://schemas.openxmlformats.org/officeDocument/2006/relationships/image" Target="media/image1.jpeg"/><Relationship Id="rId13" Type="http://schemas.openxmlformats.org/officeDocument/2006/relationships/image" Target="media/image2.jpeg"/><Relationship Id="rId14" Type="http://schemas.openxmlformats.org/officeDocument/2006/relationships/image" Target="media/image3.png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2024-05-21T09:41:08Z</dcterms:created>
  <dcterms:modified xsi:type="dcterms:W3CDTF">2024-05-21T09:41:08Z</dcterms:modified>
</cp:coreProperties>
</file>