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5304790</wp:posOffset>
            </wp:positionH>
            <wp:positionV relativeFrom="page">
              <wp:posOffset>181610</wp:posOffset>
            </wp:positionV>
            <wp:extent cx="1303020" cy="4921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49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t xml:space="preserve">Miedź WisdomTree</w:t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t xml:space="preserve">Dokument zawierający kluczowe informacje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247015</wp:posOffset>
                </wp:positionV>
                <wp:extent cx="6367145" cy="18288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714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" o:spid="_x0000_s1027" style="position:absolute;margin-left:0.65pt;margin-top:19.45pt;width:501.3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</w:r>
    </w:p>
    <w:p>
      <w:pPr>
        <w:spacing w:after="0" w:line="38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Przeznaczenie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 w:right="4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Nie jest to materiał marketingowy.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Informacje te są wymagane przez prawo, aby pomóc Ci zrozumieć charakter, ryzyko, koszty, potencjalne zyski i straty tego produktu oraz aby pomóc Ci porównać go z innymi produktami.</w:t>
      </w:r>
    </w:p>
    <w:p>
      <w:pPr>
        <w:spacing w:after="0" w:line="7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Produkt</w:t>
      </w:r>
    </w:p>
    <w:p>
      <w:pPr>
        <w:spacing w:after="0" w:line="70" w:lineRule="exact"/>
        <w:rPr>
          <w:sz w:val="24"/>
          <w:szCs w:val="24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79"/>
        </w:trPr>
        <w:tc>
          <w:tcPr>
            <w:tcW w:w="2160" w:type="dxa"/>
            <w:vAlign w:val="bottom"/>
            <w:tcBorders>
              <w:top w:val="single" w:sz="8" w:color="5B6770"/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Produkt:</w:t>
            </w:r>
          </w:p>
        </w:tc>
        <w:tc>
          <w:tcPr>
            <w:tcW w:w="2460" w:type="dxa"/>
            <w:vAlign w:val="bottom"/>
            <w:tcBorders>
              <w:top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Miedź WisdomTree</w:t>
            </w:r>
          </w:p>
        </w:tc>
        <w:tc>
          <w:tcPr>
            <w:tcW w:w="3200" w:type="dxa"/>
            <w:vAlign w:val="bottom"/>
            <w:tcBorders>
              <w:top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Producent PRIIP:</w:t>
            </w:r>
          </w:p>
        </w:tc>
        <w:tc>
          <w:tcPr>
            <w:tcW w:w="2240" w:type="dxa"/>
            <w:vAlign w:val="bottom"/>
            <w:tcBorders>
              <w:top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WisdomTree UK Limited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16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NUMER ISIN:</w:t>
            </w: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GB00B15KXQ89</w:t>
            </w: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Właściwy organ twórcy PRIIP:</w:t>
            </w: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UE: Central Bank of Ireland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Wielka Brytania: Financial Conduct Authority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216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Data dokumentu lub najpóźniej</w:t>
            </w: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06/12/2023</w:t>
            </w: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Strona internetowa producenta PRIIP:</w:t>
            </w: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60"/>
              <w:spacing w:after="0"/>
              <w:rPr>
                <w:rFonts w:ascii="Arial" w:cs="Arial" w:eastAsia="Arial" w:hAnsi="Arial"/>
                <w:sz w:val="14"/>
                <w:szCs w:val="14"/>
                <w:u w:val="single" w:color="auto"/>
                <w:color w:val="0047BB"/>
              </w:rPr>
            </w:pPr>
            <w:hyperlink r:id="rId13">
              <w:r>
                <w:rPr xmlns:w="http://schemas.openxmlformats.org/wordprocessingml/2006/main">
                  <w:rFonts w:ascii="Arial" w:cs="Arial" w:eastAsia="Arial" w:hAnsi="Arial"/>
                  <w:sz w:val="14"/>
                  <w:szCs w:val="14"/>
                  <w:u w:val="single" w:color="auto"/>
                  <w:color w:val="0047BB"/>
                </w:rPr>
                <w:t xml:space="preserve">https://www.wisdomtree.eu</w:t>
              </w:r>
            </w:hyperlink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Wersja:</w:t>
            </w: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216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3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Wystawca:</w:t>
            </w: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Towarowe Papiery Wartościowe WisdomTree</w:t>
            </w: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Numer telefonu producenta PRIIP:</w:t>
            </w: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+44 (0) 207 448 4330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Ograniczone</w:t>
            </w: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4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"/>
        </w:trPr>
        <w:tc>
          <w:tcPr>
            <w:tcW w:w="216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9"/>
        </w:trPr>
        <w:tc>
          <w:tcPr>
            <w:tcW w:w="216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Jurysdykcja:</w:t>
            </w:r>
          </w:p>
        </w:tc>
        <w:tc>
          <w:tcPr>
            <w:tcW w:w="246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Jersey</w:t>
            </w:r>
          </w:p>
        </w:tc>
        <w:tc>
          <w:tcPr>
            <w:tcW w:w="320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  <w:w w:val="96"/>
              </w:rPr>
              <w:t xml:space="preserve">Grupa, do której należy twórca PRIIP:</w:t>
            </w:r>
          </w:p>
        </w:tc>
        <w:tc>
          <w:tcPr>
            <w:tcW w:w="224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Drzewo mądrości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9"/>
        </w:trPr>
        <w:tc>
          <w:tcPr>
            <w:tcW w:w="216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46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32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24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0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Zamierzasz kupić produkt, który nie jest prosty i może być trudny do zrozumienia.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326390</wp:posOffset>
                </wp:positionV>
                <wp:extent cx="6367145" cy="18288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714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" o:spid="_x0000_s1028" style="position:absolute;margin-left:0.65pt;margin-top:25.7pt;width:501.3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Co to za produkt?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Typ</w:t>
      </w:r>
    </w:p>
    <w:p>
      <w:pPr>
        <w:spacing w:after="0" w:line="6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Prawo Jersey regulowane, niecertyfikowane, zarejestrowane, zabezpieczone dłużne papiery wartościowe.</w:t>
      </w:r>
    </w:p>
    <w:p>
      <w:pPr>
        <w:spacing w:after="0" w:line="3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Cele</w:t>
      </w:r>
    </w:p>
    <w:p>
      <w:pPr>
        <w:spacing w:after="0" w:line="1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20"/>
        <w:spacing w:after="0" w:line="29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2"/>
          <w:szCs w:val="12"/>
          <w:color w:val="5B6770"/>
        </w:rPr>
        <w:t xml:space="preserve">WisdomTree Copper to w pełni zabezpieczony, kwalifikowany przez UCITS Towar Giełdowy (ETC), który ma na celu zapewnienie inwestorom całkowitego zwrotu z kontraktów terminowych na miedź.</w:t>
      </w:r>
      <w:r>
        <w:rPr xmlns:w="http://schemas.openxmlformats.org/wordprocessingml/2006/main">
          <w:rFonts w:ascii="Arial" w:cs="Arial" w:eastAsia="Arial" w:hAnsi="Arial"/>
          <w:sz w:val="12"/>
          <w:szCs w:val="12"/>
          <w:color w:val="5B6770"/>
        </w:rPr>
        <w:t xml:space="preserve"> ETC ma na celu odtworzenie wskaźnika Bloomberg Copper Sub Total Return Index (BCOMHGTR) poprzez śledzenie indeksu Bloomberg Copper Sub Excess Return Index oraz zapewnienie przychodów odsetkowych skorygowanych w celu odzwierciedlenia opłat i kosztów związanych z produktem.</w:t>
      </w:r>
      <w:r>
        <w:rPr xmlns:w="http://schemas.openxmlformats.org/wordprocessingml/2006/main">
          <w:rFonts w:ascii="Arial" w:cs="Arial" w:eastAsia="Arial" w:hAnsi="Arial"/>
          <w:sz w:val="12"/>
          <w:szCs w:val="12"/>
          <w:color w:val="5B6770"/>
        </w:rPr>
        <w:t xml:space="preserve"> Przykładowo, jeśli w ciągu doby indeks Bloomberg Copper Sub Total Return Index wzrośnie o 1%, to ETC wzrośnie o 1%, wyłączając opłaty.</w:t>
      </w:r>
      <w:r>
        <w:rPr xmlns:w="http://schemas.openxmlformats.org/wordprocessingml/2006/main">
          <w:rFonts w:ascii="Arial" w:cs="Arial" w:eastAsia="Arial" w:hAnsi="Arial"/>
          <w:sz w:val="12"/>
          <w:szCs w:val="12"/>
          <w:color w:val="5B6770"/>
        </w:rPr>
        <w:t xml:space="preserve"> Jeśli jednak w ciągu doby indeks Bloomberg Copper Sub Total Return Index spadnie o 1%, to ETC spadnie o 1%, bez opłat.</w:t>
      </w:r>
    </w:p>
    <w:p>
      <w:pPr xmlns:w="http://schemas.openxmlformats.org/wordprocessingml/2006/main">
        <w:jc w:val="both"/>
        <w:ind w:left="20" w:right="20"/>
        <w:spacing w:after="0" w:line="29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Możesz handlować tym produktem na różnych giełdach papierów wartościowych według własnego uznania.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Zmiany cen kontraktów terminowych, o których mowa w Benchmarku, niekoniecznie będą skutkować skorelowanymi zmianami poziomu Benchmarku lub Produktu.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Może to wynikać z szeregu czynników, w tym z efektu "rolowania" kontraktów terminowych.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Zamierzony Inwestor Detaliczny</w:t>
      </w:r>
    </w:p>
    <w:p>
      <w:pPr>
        <w:spacing w:after="0" w:line="5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20"/>
        <w:spacing w:after="0" w:line="25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Niniejszy produkt jest przeznaczony dla podstawowych inwestorów detalicznych, którzy: (i) mogą ponieść utratę kapitału, nie dążą do zachowania kapitału i nie szukają gwarancji kapitału; (ii) posiadają szczególną wiedzę lub doświadczenie w inwestowaniu w podobne produkty i na rynkach finansowych; oraz (iii) poszukują produktu oferującego ekspozycję na wyniki aktywów bazowych i mają horyzont inwestycyjny zgodny z zalecanym okresem posiadania określonym poniżej.</w:t>
      </w:r>
    </w:p>
    <w:p>
      <w:pPr>
        <w:spacing w:after="0" w:line="2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Termin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Ten produkt nie ma ustalonego terminu.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Termin ten zależy od tego, jak długo pacjent zdecyduje się na przechowywanie produktu.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Emitent jest uprawniony do jednostronnego wypowiedzenia niniejszego produktu.</w:t>
      </w:r>
    </w:p>
    <w:p>
      <w:pPr>
        <w:sectPr>
          <w:pgSz w:w="10800" w:h="15600" w:orient="portrait"/>
          <w:cols w:equalWidth="0" w:num="1">
            <w:col w:w="10040"/>
          </w:cols>
          <w:pgMar w:left="380" w:top="328" w:right="380" w:bottom="1440" w:gutter="0" w:footer="0" w:header="0"/>
        </w:sectPr>
      </w:pPr>
    </w:p>
    <w:bookmarkStart w:id="1" w:name="page2"/>
    <w:bookmarkEnd w:id="1"/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5304790</wp:posOffset>
            </wp:positionH>
            <wp:positionV relativeFrom="page">
              <wp:posOffset>181610</wp:posOffset>
            </wp:positionV>
            <wp:extent cx="1303020" cy="4921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49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t xml:space="preserve">Miedź WisdomTree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t xml:space="preserve">Dokument zawierający kluczowe informacje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247015</wp:posOffset>
                </wp:positionV>
                <wp:extent cx="6367145" cy="18288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714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" o:spid="_x0000_s1030" style="position:absolute;margin-left:0.05pt;margin-top:19.45pt;width:501.3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</w:r>
    </w:p>
    <w:p>
      <w:pPr>
        <w:spacing w:after="0" w:line="39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1123950</wp:posOffset>
            </wp:positionH>
            <wp:positionV relativeFrom="paragraph">
              <wp:posOffset>88900</wp:posOffset>
            </wp:positionV>
            <wp:extent cx="283210" cy="28321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1734820</wp:posOffset>
            </wp:positionH>
            <wp:positionV relativeFrom="paragraph">
              <wp:posOffset>83185</wp:posOffset>
            </wp:positionV>
            <wp:extent cx="283210" cy="28321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2344420</wp:posOffset>
            </wp:positionH>
            <wp:positionV relativeFrom="paragraph">
              <wp:posOffset>86360</wp:posOffset>
            </wp:positionV>
            <wp:extent cx="283210" cy="28321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2954020</wp:posOffset>
            </wp:positionH>
            <wp:positionV relativeFrom="paragraph">
              <wp:posOffset>90805</wp:posOffset>
            </wp:positionV>
            <wp:extent cx="283210" cy="28321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3565525</wp:posOffset>
            </wp:positionH>
            <wp:positionV relativeFrom="paragraph">
              <wp:posOffset>90805</wp:posOffset>
            </wp:positionV>
            <wp:extent cx="283210" cy="28321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4171950</wp:posOffset>
            </wp:positionH>
            <wp:positionV relativeFrom="paragraph">
              <wp:posOffset>88900</wp:posOffset>
            </wp:positionV>
            <wp:extent cx="283210" cy="28321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4777105</wp:posOffset>
            </wp:positionH>
            <wp:positionV relativeFrom="paragraph">
              <wp:posOffset>95250</wp:posOffset>
            </wp:positionV>
            <wp:extent cx="283210" cy="28321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9" w:lineRule="exact"/>
        <w:rPr>
          <w:sz w:val="20"/>
          <w:szCs w:val="20"/>
          <w:color w:val="auto"/>
        </w:rPr>
      </w:pPr>
    </w:p>
    <w:tbl>
      <w:tblPr>
        <w:tblLayout w:type="fixed"/>
        <w:tblInd w:w="867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860" w:type="dxa"/>
            <w:vAlign w:val="bottom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Niższe ryzyko</w:t>
            </w:r>
          </w:p>
        </w:tc>
        <w:tc>
          <w:tcPr>
            <w:tcW w:w="740" w:type="dxa"/>
            <w:vAlign w:val="bottom"/>
          </w:tcPr>
          <w:p>
            <w:pPr xmlns:w="http://schemas.openxmlformats.org/wordprocessingml/2006/main">
              <w:jc w:val="right"/>
              <w:ind w:right="259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1</w:t>
            </w:r>
          </w:p>
        </w:tc>
        <w:tc>
          <w:tcPr>
            <w:tcW w:w="960" w:type="dxa"/>
            <w:vAlign w:val="bottom"/>
          </w:tcPr>
          <w:p>
            <w:pPr xmlns:w="http://schemas.openxmlformats.org/wordprocessingml/2006/main">
              <w:jc w:val="right"/>
              <w:ind w:right="2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2</w:t>
            </w:r>
          </w:p>
        </w:tc>
        <w:tc>
          <w:tcPr>
            <w:tcW w:w="980" w:type="dxa"/>
            <w:vAlign w:val="bottom"/>
          </w:tcPr>
          <w:p>
            <w:pPr xmlns:w="http://schemas.openxmlformats.org/wordprocessingml/2006/main"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3</w:t>
            </w:r>
          </w:p>
        </w:tc>
        <w:tc>
          <w:tcPr>
            <w:tcW w:w="960" w:type="dxa"/>
            <w:vAlign w:val="bottom"/>
          </w:tcPr>
          <w:p>
            <w:pPr xmlns:w="http://schemas.openxmlformats.org/wordprocessingml/2006/main"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4</w:t>
            </w:r>
          </w:p>
        </w:tc>
        <w:tc>
          <w:tcPr>
            <w:tcW w:w="960" w:type="dxa"/>
            <w:vAlign w:val="bottom"/>
          </w:tcPr>
          <w:p>
            <w:pPr xmlns:w="http://schemas.openxmlformats.org/wordprocessingml/2006/main">
              <w:jc w:val="right"/>
              <w:ind w:right="2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5</w:t>
            </w:r>
          </w:p>
        </w:tc>
        <w:tc>
          <w:tcPr>
            <w:tcW w:w="940" w:type="dxa"/>
            <w:vAlign w:val="bottom"/>
          </w:tcPr>
          <w:p>
            <w:pPr xmlns:w="http://schemas.openxmlformats.org/wordprocessingml/2006/main">
              <w:jc w:val="right"/>
              <w:ind w:right="259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6</w:t>
            </w:r>
          </w:p>
        </w:tc>
        <w:tc>
          <w:tcPr>
            <w:tcW w:w="880" w:type="dxa"/>
            <w:vAlign w:val="bottom"/>
          </w:tcPr>
          <w:p>
            <w:pPr xmlns:w="http://schemas.openxmlformats.org/wordprocessingml/2006/main"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b w:val="1"/>
                <w:bCs w:val="1"/>
                <w:color w:val="FFFFFF"/>
              </w:rPr>
              <w:t xml:space="preserve">7</w:t>
            </w:r>
          </w:p>
        </w:tc>
        <w:tc>
          <w:tcPr>
            <w:tcW w:w="1060" w:type="dxa"/>
            <w:vAlign w:val="bottom"/>
            <w:vMerge w:val="restart"/>
          </w:tcPr>
          <w:p>
            <w:pPr xmlns:w="http://schemas.openxmlformats.org/wordprocessingml/2006/main"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  <w:w w:val="89"/>
              </w:rPr>
              <w:t xml:space="preserve">Wyższe ryzyko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"/>
        </w:trPr>
        <w:tc>
          <w:tcPr>
            <w:tcW w:w="8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8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 w:right="14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Wskaźnik ryzyka zakłada przechowywanie produktu przez 1 rok.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5B6770"/>
        </w:rPr>
        <w:t xml:space="preserve">Rzeczywiste ryzyko może być znacznie wyższe, jeśli dokonasz wpłaty na wczesnym lub późniejszym etapie, a otrzymasz mniej.</w:t>
      </w:r>
    </w:p>
    <w:p>
      <w:pPr>
        <w:spacing w:after="0" w:line="4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 w:right="14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Pokazuje, jak prawdopodobne jest, że produkt straci pieniądze z powodu zmian na rynkach lub dlatego, że nie jesteśmy w stanie zapłacić.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Zaklasyfikowaliśmy ten produkt jako 5 z 7, co jest klasą średniego ryzyka.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Ocenia to potencjalne straty wynikające z przyszłych wyników na średnim poziomie.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 w:right="14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5B6770"/>
        </w:rPr>
        <w:t xml:space="preserve">Bądź świadomy ryzyka walutowego.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5B6770"/>
        </w:rPr>
        <w:t xml:space="preserve"> Jeśli waluta handlowa jest inna niż waluta bazowa, otrzymasz płatności w innej walucie, więc ostateczny zwrot będzie zależał od kursu wymiany między dwiema walutami.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b w:val="1"/>
          <w:bCs w:val="1"/>
          <w:color w:val="5B6770"/>
        </w:rPr>
        <w:t xml:space="preserve"> Ryzyko to nie jest uwzględniane we wskaźniku przedstawionym powyżej.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Emitent może wypowiedzieć niniejszy produkt jednostronnie, a w przypadku niektórych zdarzeń obligatoryjnego wykupu może to uczynić z bardzo krótkim wyprzedzeniem określonym w prospekcie emisyjnym.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Ten produkt nie obejmuje żadnej ochrony przed przyszłą sytuacją rynkową, więc możesz stracić część lub całość inwestycji.</w:t>
      </w:r>
    </w:p>
    <w:p>
      <w:pPr>
        <w:spacing w:after="0" w:line="14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Czynniki wpływające na zwrot produktu po zakończeniu zalecanego okresu utrzymywania</w:t>
      </w:r>
    </w:p>
    <w:p>
      <w:pPr>
        <w:spacing w:after="0" w:line="7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 w:right="14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Na zwrot z produktu na koniec zalecanego okresu przechowywania będzie miała wpływ przede wszystkim wydajność instrumentu bazowego (instrumentów bazowych) w zalecanym okresie przechowywania oraz kurs wymiany między walutą produktu a walutą, w której produkt został nabyty.</w:t>
      </w:r>
    </w:p>
    <w:p>
      <w:pPr>
        <w:spacing w:after="0" w:line="4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Co może wpłynąć pozytywnie na mój powrót?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 w:right="5720" w:hanging="7"/>
        <w:spacing w:after="0" w:line="340" w:lineRule="auto"/>
        <w:tabs>
          <w:tab w:leader="none" w:pos="106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Wzrost poziomu subindeksu Bloomberg Copper Subindex Total Return.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Co może negatywnie wpłynąć na mój powrót?</w:t>
      </w:r>
    </w:p>
    <w:p>
      <w:pPr xmlns:w="http://schemas.openxmlformats.org/wordprocessingml/2006/main">
        <w:ind w:left="107" w:hanging="107"/>
        <w:spacing w:after="0"/>
        <w:tabs>
          <w:tab w:leader="none" w:pos="107" w:val="left"/>
        </w:tabs>
        <w:numPr>
          <w:ilvl w:val="0"/>
          <w:numId w:val="1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Spadek poziomu subindeksu Bloomberg Copper Subindex Total Return.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7" w:right="140"/>
        <w:spacing w:after="0" w:line="25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Wymienione powyżej czynniki dostarczają ogólnych wskazówek na temat tego, jak zmiany poziomu subindeksu Bloomberg Copper Subindex Total Return mogą wpłynąć na Twój zwrot.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Dokładny wpływ będzie zależał od czasu i skali tych zmian, a powyższa lista nie powinna być postrzegana jako gwarancja konkretnego rezultatu.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Aby uzyskać omówienie tego, co otrzymasz po zamknięciu produktu, zobacz temat "Co to jest ten produkt?".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 trudnych warunkach rynkowych możesz stracić całą swoją inwestycję.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97790</wp:posOffset>
                </wp:positionV>
                <wp:extent cx="6358890" cy="18288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890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" o:spid="_x0000_s1038" style="position:absolute;margin-left:0pt;margin-top:7.7pt;width:500.7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97790</wp:posOffset>
                </wp:positionV>
                <wp:extent cx="6359525" cy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95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5B677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7.7pt" to="500.75pt,7.7pt" o:allowincell="f" strokecolor="#5B6770" strokeweight="0.25pt"/>
            </w:pict>
          </mc:Fallback>
        </mc:AlternateConten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Co się stanie, jeśli WisdomTree Commodity Securities Limited nie będzie w stanie wypłacić?</w:t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7"/>
        <w:spacing w:after="0" w:line="25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Emitent jest spółką celową.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W przypadku niewykonania zobowiązania przez Emitenta, wszelkie roszczenia wobec Emitenta będą zaspokojone w kolejności pierwszeństwa płatności określonej w warunkach produktu.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Jeżeli wpływy netto z tytułu egzekucji zabezpieczonej nieruchomości związanej z produktem nie wystarczą do wywiązania się ze wszystkich zobowiązań i dokonania wszelkich płatności należnych z tytułu papierów wartościowych, zobowiązania Emitenta z tytułu tych papierów wartościowych będą ograniczone do wpływów netto z tytułu realizacji odpowiedniej zabezpieczonej nieruchomości.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W takich okolicznościach możesz ponieść stratę, jeśli nie możesz zrealizować pełnej wartości swojej inwestycji.</w:t>
      </w:r>
    </w:p>
    <w:p>
      <w:pPr>
        <w:spacing w:after="0" w:line="4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7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Produkt nie jest chroniony przez system rekompensat lub gwarancji dla inwestorów.</w:t>
      </w:r>
    </w:p>
    <w:p>
      <w:pPr>
        <w:sectPr>
          <w:pgSz w:w="10800" w:h="15600" w:orient="portrait"/>
          <w:cols w:equalWidth="0" w:num="1">
            <w:col w:w="10007"/>
          </w:cols>
          <w:pgMar w:left="393" w:top="328" w:right="400" w:bottom="1440" w:gutter="0" w:footer="0" w:header="0"/>
        </w:sectPr>
      </w:pPr>
    </w:p>
    <w:bookmarkStart w:id="2" w:name="page3"/>
    <w:bookmarkEnd w:id="2"/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5304790</wp:posOffset>
            </wp:positionH>
            <wp:positionV relativeFrom="page">
              <wp:posOffset>181610</wp:posOffset>
            </wp:positionV>
            <wp:extent cx="1303020" cy="4921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49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t xml:space="preserve">Miedź WisdomTree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8"/>
          <w:szCs w:val="28"/>
          <w:b w:val="1"/>
          <w:bCs w:val="1"/>
          <w:color w:val="5B6770"/>
        </w:rPr>
        <w:t xml:space="preserve">Dokument zawierający kluczowe informacje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241935</wp:posOffset>
                </wp:positionV>
                <wp:extent cx="6359525" cy="18288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952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6" o:spid="_x0000_s1041" style="position:absolute;margin-left:0.6pt;margin-top:19.05pt;width:500.7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</w:r>
    </w:p>
    <w:p>
      <w:pPr>
        <w:spacing w:after="0" w:line="37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Jakie są koszty?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Osoba, która sprzedaje lub doradza Ci ten produkt, może obciążyć Cię innymi kosztami.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Jeśli tak, osoba ta przekaże Ci informacje o tych kosztach i ich wpływie na Twoją inwestycję.</w:t>
      </w:r>
    </w:p>
    <w:p>
      <w:pPr>
        <w:spacing w:after="0" w:line="3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Koszty w czasie</w:t>
      </w:r>
    </w:p>
    <w:p>
      <w:pPr>
        <w:spacing w:after="0" w:line="7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20"/>
        <w:spacing w:after="0" w:line="25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 tabelach przedstawiono kwoty pobrane z inwestycji w celu pokrycia różnych rodzajów kosztów.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Kwoty te zależą od tego, ile zainwestujesz, jak długo przechowujesz produkt i jak dobrze działa produkt (w stosownych przypadkach).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Przedstawione tu kwoty są ilustracjami opartymi na przykładowej kwocie inwestycji i różnych możliwych okresach inwestycji:</w:t>
      </w:r>
    </w:p>
    <w:p>
      <w:pPr>
        <w:spacing w:after="0" w:line="4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Założyliśmy: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 w:right="20" w:hanging="7"/>
        <w:spacing w:after="0" w:line="265" w:lineRule="auto"/>
        <w:tabs>
          <w:tab w:leader="none" w:pos="154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 pierwszym roku otrzymasz kwotę, którą zainwestowałeś (0% rocznego zwrotu).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W odniesieniu do pozostałych okresów utrzymywania zasobów założyliśmy, że produkt działa w umiarkowany sposób</w:t>
      </w:r>
    </w:p>
    <w:p>
      <w:pPr>
        <w:spacing w:after="0" w:line="40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140" w:hanging="127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Zainwestowano 10 000 (USD)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3363595</wp:posOffset>
                </wp:positionH>
                <wp:positionV relativeFrom="paragraph">
                  <wp:posOffset>51435</wp:posOffset>
                </wp:positionV>
                <wp:extent cx="0" cy="18415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841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4.85pt,4.05pt" to="264.85pt,18.55pt" o:allowincell="f" strokecolor="#FFFFFF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3363595</wp:posOffset>
                </wp:positionH>
                <wp:positionV relativeFrom="paragraph">
                  <wp:posOffset>234315</wp:posOffset>
                </wp:positionV>
                <wp:extent cx="0" cy="368935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3689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5B677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64.85pt,18.45pt" to="264.85pt,47.5pt" o:allowincell="f" strokecolor="#5B6770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52705</wp:posOffset>
                </wp:positionV>
                <wp:extent cx="6363335" cy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33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5B677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5pt,4.15pt" to="501.5pt,4.15pt" o:allowincell="f" strokecolor="#5B6770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601345</wp:posOffset>
                </wp:positionV>
                <wp:extent cx="6363335" cy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33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5B677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45pt,47.35pt" to="501.5pt,47.35pt" o:allowincell="f" strokecolor="#5B6770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51435</wp:posOffset>
                </wp:positionV>
                <wp:extent cx="0" cy="551815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518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5B677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6pt,4.05pt" to="0.6pt,47.5pt" o:allowincell="f" strokecolor="#5B6770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6367145</wp:posOffset>
                </wp:positionH>
                <wp:positionV relativeFrom="paragraph">
                  <wp:posOffset>51435</wp:posOffset>
                </wp:positionV>
                <wp:extent cx="0" cy="551815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5518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5B677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01.35pt,4.05pt" to="501.35pt,47.5pt" o:allowincell="f" strokecolor="#5B6770" strokeweight="0.25pt"/>
            </w:pict>
          </mc:Fallback>
        </mc:AlternateContent>
      </w:r>
    </w:p>
    <w:p>
      <w:pPr>
        <w:spacing w:after="0" w:line="6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6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240" w:type="dxa"/>
            <w:vAlign w:val="bottom"/>
            <w:shd w:val="clear" w:color="auto" w:fill="5B6770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Inwestycje 10 000 $</w:t>
            </w:r>
          </w:p>
        </w:tc>
        <w:tc>
          <w:tcPr>
            <w:tcW w:w="5760" w:type="dxa"/>
            <w:vAlign w:val="bottom"/>
            <w:shd w:val="clear" w:color="auto" w:fill="5B6770"/>
          </w:tcPr>
          <w:p>
            <w:pPr xmlns:w="http://schemas.openxmlformats.org/wordprocessingml/2006/main">
              <w:ind w:left="27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Jeśli wyjdziesz po 1 roku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  <w:tcBorders>
              <w:bottom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760" w:type="dxa"/>
            <w:vAlign w:val="bottom"/>
            <w:tcBorders>
              <w:bottom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40" w:type="dxa"/>
            <w:vAlign w:val="bottom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Koszty ogółem</w:t>
            </w:r>
          </w:p>
        </w:tc>
        <w:tc>
          <w:tcPr>
            <w:tcW w:w="5760" w:type="dxa"/>
            <w:vAlign w:val="bottom"/>
          </w:tcPr>
          <w:p>
            <w:pPr xmlns:w="http://schemas.openxmlformats.org/wordprocessingml/2006/main">
              <w:jc w:val="right"/>
              <w:ind w:right="209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99,00 $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59"/>
        </w:trPr>
        <w:tc>
          <w:tcPr>
            <w:tcW w:w="20" w:type="dxa"/>
            <w:vAlign w:val="bottom"/>
            <w:tcBorders>
              <w:bottom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240" w:type="dxa"/>
            <w:vAlign w:val="bottom"/>
            <w:tcBorders>
              <w:bottom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760" w:type="dxa"/>
            <w:vAlign w:val="bottom"/>
            <w:tcBorders>
              <w:bottom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" w:type="dxa"/>
            <w:vAlign w:val="bottom"/>
            <w:tcBorders>
              <w:bottom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</w:tr>
      <w:tr>
        <w:trPr>
          <w:trHeight w:val="209"/>
        </w:trPr>
        <w:tc>
          <w:tcPr>
            <w:tcW w:w="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40" w:type="dxa"/>
            <w:vAlign w:val="bottom"/>
          </w:tcPr>
          <w:p>
            <w:pPr xmlns:w="http://schemas.openxmlformats.org/wordprocessingml/2006/main"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Roczny wpływ na koszty (*)</w:t>
            </w:r>
          </w:p>
        </w:tc>
        <w:tc>
          <w:tcPr>
            <w:tcW w:w="5760" w:type="dxa"/>
            <w:vAlign w:val="bottom"/>
          </w:tcPr>
          <w:p>
            <w:pPr xmlns:w="http://schemas.openxmlformats.org/wordprocessingml/2006/main">
              <w:jc w:val="right"/>
              <w:ind w:right="209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- 0,99%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</w:tbl>
    <w:p>
      <w:pPr>
        <w:spacing w:after="0" w:line="5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/>
        <w:spacing w:after="0" w:line="26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(*) Pokazuje to, w jaki sposób koszty zmniejszają zwrot z inwestycji każdego roku w okresie utrzymywania.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Na przykład pokazuje to, że jeśli opuścisz zakład na koniec zalecanego okresu utrzymywania, średni roczny zwrot z inwestycji wyniesie -2.14% przed kosztami i -3.13% po kosztach.</w:t>
      </w:r>
    </w:p>
    <w:p>
      <w:pPr>
        <w:spacing w:after="0" w:line="4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5B6770"/>
        </w:rPr>
        <w:t xml:space="preserve">Struktura kosztów</w:t>
      </w:r>
    </w:p>
    <w:p>
      <w:pPr>
        <w:spacing w:after="0" w:line="8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Poniższa tabela przedstawia: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40" w:hanging="127"/>
        <w:spacing w:after="0"/>
        <w:tabs>
          <w:tab w:leader="none" w:pos="140" w:val="left"/>
        </w:tabs>
        <w:numPr>
          <w:ilvl w:val="0"/>
          <w:numId w:val="3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Wpływ każdego roku różnych rodzajów kosztów na zwrot z inwestycji, jaki można uzyskać pod koniec zalecanego okresu utrzymywania.</w:t>
      </w:r>
    </w:p>
    <w:p>
      <w:pPr>
        <w:spacing w:after="0" w:line="67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140" w:hanging="127"/>
        <w:spacing w:after="0"/>
        <w:tabs>
          <w:tab w:leader="none" w:pos="140" w:val="left"/>
        </w:tabs>
        <w:numPr>
          <w:ilvl w:val="0"/>
          <w:numId w:val="3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Znaczenie poszczególnych kategorii kosztów</w:t>
      </w:r>
    </w:p>
    <w:p>
      <w:pPr>
        <w:spacing w:after="0" w:line="80" w:lineRule="exact"/>
        <w:rPr>
          <w:sz w:val="20"/>
          <w:szCs w:val="20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30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  <w:shd w:val="clear" w:color="auto" w:fill="5B6770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Jednorazowe koszty przy wjeździe lub wyjeździe</w:t>
            </w: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 xmlns:w="http://schemas.openxmlformats.org/wordprocessingml/2006/main">
              <w:jc w:val="right"/>
              <w:ind w:right="4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Jeśli wyjdziesz po 1 roku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Koszty wejścia</w:t>
            </w: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Nie pobieramy opłaty za wstęp w przypadku zakupu na giełdzie.</w:t>
            </w: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jc w:val="right"/>
              <w:ind w:right="8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0,00 $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44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2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0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Koszty wyjścia</w:t>
            </w: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Nie pobieramy opłaty za wyjście w przypadku sprzedaży na giełdzie.</w:t>
            </w: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jc w:val="right"/>
              <w:ind w:right="8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0,00 $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  <w:shd w:val="clear" w:color="auto" w:fill="5B6770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Koszty bieżące ponoszone każdego roku</w:t>
            </w: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 xmlns:w="http://schemas.openxmlformats.org/wordprocessingml/2006/main">
              <w:jc w:val="right"/>
              <w:ind w:right="4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Jeśli wyjdziesz po 1 roku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2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Opłaty za zarządzanie i inne</w:t>
            </w: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  <w:w w:val="97"/>
              </w:rPr>
              <w:t xml:space="preserve">0.54% wartości inwestycji rocznie.</w:t>
            </w: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  <w:w w:val="97"/>
              </w:rPr>
              <w:t xml:space="preserve"> Jest to szacunek oparty na rzeczywistych</w:t>
            </w: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jc w:val="right"/>
              <w:ind w:right="8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54,00 $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7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koszty administracyjne lub operacyjne</w:t>
            </w: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  <w:vMerge w:val="restart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kosztów w ciągu ostatniego roku.</w:t>
            </w: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244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220" w:type="dxa"/>
            <w:vAlign w:val="bottom"/>
            <w:tcBorders>
              <w:bottom w:val="single" w:sz="8" w:color="5B6770"/>
              <w:right w:val="single" w:sz="8" w:color="5B6770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7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20"/>
              <w:spacing w:after="0" w:line="14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0.45% wartości inwestycji rocznie.</w:t>
            </w: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 Jest to szacunkowy koszt</w:t>
            </w: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Koszty transakcyjne</w:t>
            </w: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ponoszone przy zakupie i sprzedaży inwestycji bazowych na dany produkt.</w:t>
            </w: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 Użycie</w:t>
            </w: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jc w:val="right"/>
              <w:ind w:right="8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45,00 $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Rzeczywista kwota będzie zależała od tego, ile kupujemy i sprzedajemy.</w:t>
            </w: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0"/>
        </w:trPr>
        <w:tc>
          <w:tcPr>
            <w:tcW w:w="7660" w:type="dxa"/>
            <w:vAlign w:val="bottom"/>
            <w:tcBorders>
              <w:left w:val="single" w:sz="8" w:color="5B6770"/>
              <w:right w:val="single" w:sz="8" w:color="5B6770"/>
            </w:tcBorders>
            <w:gridSpan w:val="2"/>
            <w:shd w:val="clear" w:color="auto" w:fill="5B6770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Koszty uboczne ponoszone na określonych warunkach</w:t>
            </w: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 xmlns:w="http://schemas.openxmlformats.org/wordprocessingml/2006/main">
              <w:jc w:val="right"/>
              <w:ind w:right="45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FFFFFF"/>
              </w:rPr>
              <w:t xml:space="preserve">Jeśli wyjdziesz po 1 roku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  <w:shd w:val="clear" w:color="auto" w:fill="5B6770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5"/>
        </w:trPr>
        <w:tc>
          <w:tcPr>
            <w:tcW w:w="2440" w:type="dxa"/>
            <w:vAlign w:val="bottom"/>
            <w:tcBorders>
              <w:left w:val="single" w:sz="8" w:color="5B6770"/>
              <w:right w:val="single" w:sz="8" w:color="5B6770"/>
            </w:tcBorders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b w:val="1"/>
                <w:bCs w:val="1"/>
                <w:color w:val="5B6770"/>
              </w:rPr>
              <w:t xml:space="preserve">Opłaty za wyniki</w:t>
            </w:r>
          </w:p>
        </w:tc>
        <w:tc>
          <w:tcPr>
            <w:tcW w:w="522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Brak opłaty za wydajność dla tego produktu</w:t>
            </w:r>
          </w:p>
        </w:tc>
        <w:tc>
          <w:tcPr>
            <w:tcW w:w="2400" w:type="dxa"/>
            <w:vAlign w:val="bottom"/>
            <w:tcBorders>
              <w:right w:val="single" w:sz="8" w:color="5B6770"/>
            </w:tcBorders>
          </w:tcPr>
          <w:p>
            <w:pPr xmlns:w="http://schemas.openxmlformats.org/wordprocessingml/2006/main">
              <w:jc w:val="right"/>
              <w:ind w:right="8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5B6770"/>
              </w:rPr>
              <w:t xml:space="preserve">0,00 $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8"/>
        </w:trPr>
        <w:tc>
          <w:tcPr>
            <w:tcW w:w="2440" w:type="dxa"/>
            <w:vAlign w:val="bottom"/>
            <w:tcBorders>
              <w:left w:val="single" w:sz="8" w:color="5B6770"/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22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0" w:type="dxa"/>
            <w:vAlign w:val="bottom"/>
            <w:tcBorders>
              <w:bottom w:val="single" w:sz="8" w:color="5B6770"/>
              <w:right w:val="single" w:sz="8" w:color="5B677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104775</wp:posOffset>
                </wp:positionV>
                <wp:extent cx="6359525" cy="18288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952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3" o:spid="_x0000_s1048" style="position:absolute;margin-left:0.6pt;margin-top:8.25pt;width:500.7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4856480</wp:posOffset>
                </wp:positionH>
                <wp:positionV relativeFrom="paragraph">
                  <wp:posOffset>-1633220</wp:posOffset>
                </wp:positionV>
                <wp:extent cx="0" cy="18415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841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82.4pt,-128.5999pt" to="382.4pt,-114.0999pt" o:allowincell="f" strokecolor="#FFFFFF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4856480</wp:posOffset>
                </wp:positionH>
                <wp:positionV relativeFrom="paragraph">
                  <wp:posOffset>-1083310</wp:posOffset>
                </wp:positionV>
                <wp:extent cx="0" cy="18288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828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82.4pt,-85.2999pt" to="382.4pt,-70.8999pt" o:allowincell="f" strokecolor="#FFFFFF" strokeweight="0.2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4856480</wp:posOffset>
                </wp:positionH>
                <wp:positionV relativeFrom="paragraph">
                  <wp:posOffset>-367030</wp:posOffset>
                </wp:positionV>
                <wp:extent cx="0" cy="18288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828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82.4pt,-28.8999pt" to="382.4pt,-14.4999pt" o:allowincell="f" strokecolor="#FFFFFF" strokeweight="0.25pt"/>
            </w:pict>
          </mc:Fallback>
        </mc:AlternateContent>
      </w:r>
    </w:p>
    <w:p>
      <w:pPr>
        <w:spacing w:after="0" w:line="16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Jak długo powinienem go trzymać i czy mogę wcześnie zabrać pieniądze?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/>
        <w:spacing w:after="0" w:line="25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Zalecany okres przechowywania: 1 rok.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Produkt ten będzie można sprzedać w dowolnym momencie na giełdach, na których jest notowany; nie ma jednak okresu karencji ani okresu anulowania.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 Wyjście z systemu przed zalecanym okresem utrzymywania nie spowoduje powstania opłaty za wyjście z systemu ani kar lub opłat warunkowych, ale spowoduje, że profil ryzyka i wydajności produktu będzie inny niż wskazany w niniejszym dokumencie.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39370</wp:posOffset>
                </wp:positionV>
                <wp:extent cx="6359525" cy="18288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952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7" o:spid="_x0000_s1052" style="position:absolute;margin-left:0.6pt;margin-top:3.1pt;width:500.7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</w:r>
    </w:p>
    <w:p>
      <w:pPr>
        <w:spacing w:after="0" w:line="5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Jak mogę złożyć skargę?</w:t>
      </w:r>
    </w:p>
    <w:p>
      <w:pPr>
        <w:spacing w:after="0" w:line="11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 przypadku jakichkolwiek nieoczekiwanych problemów ze zrozumieniem, handlem lub obsługą tego produktu, prosimy o bezpośredni kontakt z WisdomTree.</w:t>
      </w:r>
    </w:p>
    <w:p>
      <w:pPr>
        <w:spacing w:after="0" w:line="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 w:hanging="147"/>
        <w:spacing w:after="0"/>
        <w:tabs>
          <w:tab w:leader="none" w:pos="160" w:val="left"/>
        </w:tabs>
        <w:numPr>
          <w:ilvl w:val="0"/>
          <w:numId w:val="4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Adres pocztowy: WisdomTree UK Limited, 16 Dufour's Place, London W1F 7SP, Wielka Brytania</w:t>
      </w:r>
    </w:p>
    <w:p>
      <w:pPr>
        <w:spacing w:after="0" w:line="7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160" w:hanging="147"/>
        <w:spacing w:after="0"/>
        <w:tabs>
          <w:tab w:leader="none" w:pos="160" w:val="left"/>
        </w:tabs>
        <w:numPr>
          <w:ilvl w:val="0"/>
          <w:numId w:val="4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Strona internetowa: </w:t>
      </w:r>
      <w:hyperlink r:id="rId23">
        <w:r>
          <w:rPr xmlns:w="http://schemas.openxmlformats.org/wordprocessingml/2006/main">
            <w:rFonts w:ascii="Arial" w:cs="Arial" w:eastAsia="Arial" w:hAnsi="Arial"/>
            <w:sz w:val="14"/>
            <w:szCs w:val="14"/>
            <w:u w:val="single" w:color="auto"/>
            <w:color w:val="0047BB"/>
          </w:rPr>
          <w:t xml:space="preserve">https://www.wisdomtree.eu</w:t>
        </w:r>
      </w:hyperlink>
    </w:p>
    <w:p>
      <w:pPr>
        <w:spacing w:after="0" w:line="7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160" w:hanging="147"/>
        <w:spacing w:after="0"/>
        <w:tabs>
          <w:tab w:leader="none" w:pos="160" w:val="left"/>
        </w:tabs>
        <w:numPr>
          <w:ilvl w:val="0"/>
          <w:numId w:val="4"/>
        </w:numPr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E-mail: </w:t>
      </w:r>
      <w:hyperlink r:id="rId24">
        <w:r>
          <w:rPr xmlns:w="http://schemas.openxmlformats.org/wordprocessingml/2006/main">
            <w:rFonts w:ascii="Arial" w:cs="Arial" w:eastAsia="Arial" w:hAnsi="Arial"/>
            <w:sz w:val="14"/>
            <w:szCs w:val="14"/>
            <w:u w:val="single" w:color="auto"/>
            <w:color w:val="0047BB"/>
          </w:rPr>
          <w:t xml:space="preserve">europesupport@wisdomtree.com</w:t>
        </w:r>
      </w:hyperlink>
    </w:p>
    <w:p>
      <w:pPr>
        <w:spacing w:after="0" w:line="7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WisdomTree zajmie się Twoją prośbą i przekaże Ci opinię tak szybko, jak to możliwe.</w:t>
      </w:r>
    </w:p>
    <w:p>
      <w:pPr>
        <w:spacing w:after="0" w:line="20" w:lineRule="exact"/>
        <w:rPr>
          <w:rFonts w:ascii="Arial" w:cs="Arial" w:eastAsia="Arial" w:hAnsi="Arial"/>
          <w:sz w:val="14"/>
          <w:szCs w:val="14"/>
          <w:color w:val="5B6770"/>
        </w:rPr>
      </w:pPr>
      <w:r>
        <w:rPr>
          <w:rFonts w:ascii="Arial" w:cs="Arial" w:eastAsia="Arial" w:hAnsi="Arial"/>
          <w:sz w:val="14"/>
          <w:szCs w:val="14"/>
          <w:color w:val="5B6770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51435</wp:posOffset>
                </wp:positionV>
                <wp:extent cx="6359525" cy="18288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9525" cy="182880"/>
                        </a:xfrm>
                        <a:prstGeom prst="rect">
                          <a:avLst/>
                        </a:prstGeom>
                        <a:solidFill>
                          <a:srgbClr val="5B677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8" o:spid="_x0000_s1053" style="position:absolute;margin-left:0.6pt;margin-top:4.05pt;width:500.75pt;height:14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5B6770" stroked="f"/>
            </w:pict>
          </mc:Fallback>
        </mc:AlternateContent>
      </w:r>
    </w:p>
    <w:p>
      <w:pPr>
        <w:spacing w:after="0" w:line="79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b w:val="1"/>
          <w:bCs w:val="1"/>
          <w:color w:val="FFFFFF"/>
        </w:rPr>
        <w:t xml:space="preserve">Inne istotne informacje</w:t>
      </w:r>
    </w:p>
    <w:p>
      <w:pPr>
        <w:spacing w:after="0" w:line="110" w:lineRule="exact"/>
        <w:rPr>
          <w:rFonts w:ascii="Arial" w:cs="Arial" w:eastAsia="Arial" w:hAnsi="Arial"/>
          <w:sz w:val="14"/>
          <w:szCs w:val="14"/>
          <w:color w:val="5B6770"/>
        </w:rPr>
      </w:pPr>
    </w:p>
    <w:p>
      <w:pPr xmlns:w="http://schemas.openxmlformats.org/wordprocessingml/2006/main">
        <w:ind w:left="20" w:right="20"/>
        <w:spacing w:after="0" w:line="269" w:lineRule="auto"/>
        <w:rPr>
          <w:rFonts w:ascii="Arial" w:cs="Arial" w:eastAsia="Arial" w:hAnsi="Arial"/>
          <w:sz w:val="13"/>
          <w:szCs w:val="13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Ryzyka przedstawione w niniejszym dokumencie uwidaczniają niektóre, ale nie wszystkie, ryzyka związane z inwestowaniem w ten produkt.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Przed podjęciem jakiejkolwiek decyzji inwestycyjnej należy upewnić się, że w pełni rozumiesz ryzyko związane z tym produktem i w razie potrzeby zasięgnąć fachowej porady.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Pełne warunki i zasady dotyczące produktu są określone w Prospekcie emisyjnym dotyczącym emisji produktu uzupełnianym i zmienianym od czasu do czasu.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Prospekt znajduje się pod adresem: </w:t>
      </w:r>
      <w:hyperlink r:id="rId23">
        <w:r>
          <w:rPr xmlns:w="http://schemas.openxmlformats.org/wordprocessingml/2006/main">
            <w:rFonts w:ascii="Arial" w:cs="Arial" w:eastAsia="Arial" w:hAnsi="Arial"/>
            <w:sz w:val="13"/>
            <w:szCs w:val="13"/>
            <w:u w:val="single" w:color="auto"/>
            <w:color w:val="0047BB"/>
          </w:rPr>
          <w:t xml:space="preserve">https://www.wisdomtree.eu</w:t>
        </w:r>
      </w:hyperlink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Niniejszy dokument może być okresowo aktualizowany.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 Najnowszy dokument zawierający kluczowe informacje jest dostępny na stronie internetowej </w:t>
      </w:r>
      <w:hyperlink r:id="rId25">
        <w:r>
          <w:rPr xmlns:w="http://schemas.openxmlformats.org/wordprocessingml/2006/main">
            <w:rFonts w:ascii="Arial" w:cs="Arial" w:eastAsia="Arial" w:hAnsi="Arial"/>
            <w:sz w:val="13"/>
            <w:szCs w:val="13"/>
            <w:u w:val="single" w:color="auto"/>
            <w:color w:val="0047BB"/>
          </w:rPr>
          <w:t xml:space="preserve">https://regdocs.wisdomtree.eu</w:t>
        </w:r>
      </w:hyperlink>
      <w:r>
        <w:rPr xmlns:w="http://schemas.openxmlformats.org/wordprocessingml/2006/main">
          <w:rFonts w:ascii="Arial" w:cs="Arial" w:eastAsia="Arial" w:hAnsi="Arial"/>
          <w:sz w:val="13"/>
          <w:szCs w:val="13"/>
          <w:color w:val="5B6770"/>
        </w:rPr>
        <w:t xml:space="preserve">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rFonts w:ascii="Arial" w:cs="Arial" w:eastAsia="Arial" w:hAnsi="Arial"/>
          <w:sz w:val="14"/>
          <w:szCs w:val="14"/>
          <w:color w:val="5B677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Obliczenia scenariusza wydajności dla tego produktu są dostępne na stronie </w:t>
      </w:r>
      <w:hyperlink r:id="rId23">
        <w:r>
          <w:rPr xmlns:w="http://schemas.openxmlformats.org/wordprocessingml/2006/main">
            <w:rFonts w:ascii="Arial" w:cs="Arial" w:eastAsia="Arial" w:hAnsi="Arial"/>
            <w:sz w:val="14"/>
            <w:szCs w:val="14"/>
            <w:u w:val="single" w:color="auto"/>
            <w:color w:val="0047BB"/>
          </w:rPr>
          <w:t xml:space="preserve">https://www.wisdomtree.eu</w:t>
        </w:r>
      </w:hyperlink>
      <w:r>
        <w:rPr xmlns:w="http://schemas.openxmlformats.org/wordprocessingml/2006/main">
          <w:rFonts w:ascii="Arial" w:cs="Arial" w:eastAsia="Arial" w:hAnsi="Arial"/>
          <w:sz w:val="14"/>
          <w:szCs w:val="14"/>
          <w:color w:val="5B6770"/>
        </w:rPr>
        <w:t xml:space="preserve">.</w:t>
      </w:r>
    </w:p>
    <w:sectPr>
      <w:pgSz w:w="10800" w:h="15600" w:orient="portrait"/>
      <w:cols w:equalWidth="0" w:num="1">
        <w:col w:w="10040"/>
      </w:cols>
      <w:pgMar w:left="380" w:top="328" w:right="38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14A55E84"/>
    <w:multiLevelType w:val="hybridMultilevel"/>
    <w:lvl w:ilvl="0">
      <w:lvlJc w:val="left"/>
      <w:lvlText w:val="+"/>
      <w:numFmt w:val="bullet"/>
      <w:start w:val="1"/>
    </w:lvl>
  </w:abstractNum>
  <w:abstractNum w:abstractNumId="1">
    <w:nsid w:val="6D93C04F"/>
    <w:multiLevelType w:val="hybridMultilevel"/>
    <w:lvl w:ilvl="0">
      <w:lvlJc w:val="left"/>
      <w:lvlText w:val="%1."/>
      <w:numFmt w:val="decimal"/>
      <w:start w:val="1"/>
    </w:lvl>
  </w:abstractNum>
  <w:abstractNum w:abstractNumId="2">
    <w:nsid w:val="83FA1ED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4283CCA8"/>
    <w:multiLevelType w:val="hybridMultilevel"/>
    <w:lvl w:ilvl="0">
      <w:lvlJc w:val="left"/>
      <w:lvlText w:val="+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4" Type="http://schemas.openxmlformats.org/officeDocument/2006/relationships/image" Target="media/image2.jpeg"/><Relationship Id="rId15" Type="http://schemas.openxmlformats.org/officeDocument/2006/relationships/image" Target="media/image3.png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image" Target="media/image6.png"/><Relationship Id="rId19" Type="http://schemas.openxmlformats.org/officeDocument/2006/relationships/image" Target="media/image7.png"/><Relationship Id="rId20" Type="http://schemas.openxmlformats.org/officeDocument/2006/relationships/image" Target="media/image8.png"/><Relationship Id="rId21" Type="http://schemas.openxmlformats.org/officeDocument/2006/relationships/image" Target="media/image9.png"/><Relationship Id="rId22" Type="http://schemas.openxmlformats.org/officeDocument/2006/relationships/image" Target="media/image10.jpeg"/><Relationship Id="rId13" Type="http://schemas.openxmlformats.org/officeDocument/2006/relationships/hyperlink" Target="https://www.wisdomtree.eu/" TargetMode="External"/><Relationship Id="rId23" Type="http://schemas.openxmlformats.org/officeDocument/2006/relationships/hyperlink" Target="https://www.wisdomtree.eu" TargetMode="External"/><Relationship Id="rId24" Type="http://schemas.openxmlformats.org/officeDocument/2006/relationships/hyperlink" Target="mailto:europesupport@wisdomtree.com" TargetMode="External"/><Relationship Id="rId25" Type="http://schemas.openxmlformats.org/officeDocument/2006/relationships/hyperlink" Target="https://regdocs.wisdomtree.eu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2024-05-21T09:27:25Z</dcterms:created>
  <dcterms:modified xsi:type="dcterms:W3CDTF">2024-05-21T09:27:25Z</dcterms:modified>
</cp:coreProperties>
</file>