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443230</wp:posOffset>
                </wp:positionH>
                <wp:positionV relativeFrom="page">
                  <wp:posOffset>463550</wp:posOffset>
                </wp:positionV>
                <wp:extent cx="700595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0595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34.9pt;margin-top:36.5pt;width:551.6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490855</wp:posOffset>
                </wp:positionH>
                <wp:positionV relativeFrom="page">
                  <wp:posOffset>463550</wp:posOffset>
                </wp:positionV>
                <wp:extent cx="6911340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911340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38.65pt;margin-top:36.5pt;width:544.2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459740</wp:posOffset>
                </wp:positionV>
                <wp:extent cx="701802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6.2pt" to="587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962660</wp:posOffset>
                </wp:positionV>
                <wp:extent cx="701802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75.8pt" to="587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1837690</wp:posOffset>
                </wp:positionV>
                <wp:extent cx="701802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144.7pt" to="587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3052445</wp:posOffset>
                </wp:positionV>
                <wp:extent cx="701802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240.35pt" to="587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4592955</wp:posOffset>
                </wp:positionV>
                <wp:extent cx="701802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61.65pt" to="587pt,361.6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457200</wp:posOffset>
                </wp:positionV>
                <wp:extent cx="0" cy="876554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65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36pt" to="34.65pt,72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7452360</wp:posOffset>
                </wp:positionH>
                <wp:positionV relativeFrom="page">
                  <wp:posOffset>457200</wp:posOffset>
                </wp:positionV>
                <wp:extent cx="0" cy="876554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765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6.8pt,36pt" to="586.8pt,72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Opcje na kontrakty terminowe (Short Put)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25400</wp:posOffset>
                </wp:positionV>
                <wp:extent cx="700532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532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5.0499pt;margin-top:2pt;width:551.6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Opcja krótkiej sprzedaży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opcji na kontrakty terminowe (a/k/a "opcje terminowe").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są notowane i są przedmiotem obrotu na amerykańskich giełdach kontraktów terminowych typu futures zarejestrowanych w amerykańskiej komisji ds. obrotu kontraktami na towary ("CFTC") i są emitowane, rozliczane i rozliczane przez OCC, organizację rozliczającą instrumenty pochodne zarejestrowaną w CFTC.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 terminowych,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na kontrakty terminowe, dopóki nie przeczytają i nie zrozumieją niniejszego dokumentu oraz wszelkich dodatkowych ujawnień przekazanych przez ich brokera, których treść może obejmować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Oświadczenie o ryzyku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Krajowego Stowarzyszenia Kontraktów Terminowych ("NFA") 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 odniesieniu do kontraktów terminowych na papiery wartościowe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https://www.nfa.futures.org/investors/investor-resources/files/security-futures-disclosure.pdf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 a także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00000"/>
        </w:rPr>
        <w:t xml:space="preserve">Ujednolicone kontrakty terminowe i opcje na ryzyko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Stowarzyszenia Branży Kontraktów Terminowych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,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 https://lc.fia.org/uniform-futures-and-options-futures-risk-disclosures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000000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Ujawnienia w niniejszym dokumencie należy interpretować w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sposób spójny z tymi ujawnieniami.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 Ponadto, ponieważ instrumentem bazowym opcji terminowej jest kontrakt terminowy, inwestorzy powinni zapoznać się z dokumentem zawierającym kluczowe informacje dotyczące kontraktu terminowego, który stanowi podstawę opcji terminowej.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24130</wp:posOffset>
                </wp:positionV>
                <wp:extent cx="7005320" cy="461899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5320" cy="4618990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5.0499pt;margin-top:1.9pt;width:551.6pt;height:363.7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Opcja terminowa to prawo do nabycia lub zbycia określonego kontraktu terminowego po ustalonej cenie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tj. "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cenie wykonania") poprzez skorzystanie z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bazowe kontrakty terminowe typu future oraz na odsetki bazowe w tej przyszłości jest zatem pośrednia, ponieważ wartość opcji jest pochodną wartości bazowej kontraktu typu future.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ważności opcji terminowych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 amerykańska giełda opcji terminowych może jednostronnie wypowiedzieć opcję.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Zdarzenie korporacyjne związane z bazowym kontraktem terminowym typu futures lub odsetkami stanowiącymi jego podstawę może skutkować zmianą warunków opcji zgodnie z regułami OCC, które mogą różnić się od metodologii stosowanej na rynkach europejskich.</w:t>
      </w:r>
    </w:p>
    <w:p>
      <w:pPr>
        <w:spacing w:after="0" w:line="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0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zgodnie z warunkami zakupu lub sprzedaży bazowego kontraktu terminowego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Opcje na kontrakty terminowe rozlicza się zazwyczaj poprzez zawarcie bazowego kontraktu terminowego.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Oznacza to, że wystawca opcji sprzedaży po jej wykonaniu nabyłby pozycję długą w bazowym kontrakcie terminowym, którego cena byłaby wyceniona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Niektóre opcje terminowe mogą być natomiast rozliczane w środkach pieniężnych, w którym to przypadku emitent dokonywałby płatności gotówkowej, jeżeli w momencie wykonania wartość bazowej transakcji jest niższa od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terminowej to cena wykonania, czas do wygaśnięcia oraz wartość bazowego kontraktu terminowego i jego podatność na wahania cen (zmienność).</w:t>
      </w:r>
    </w:p>
    <w:p>
      <w:pPr>
        <w:spacing w:after="0" w:line="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8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187960</wp:posOffset>
                </wp:positionV>
                <wp:extent cx="70173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3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4.8pt" to="547pt,14.8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840"/>
          </w:cols>
          <w:pgMar w:left="800" w:top="699" w:right="600" w:bottom="1052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459740</wp:posOffset>
                </wp:positionV>
                <wp:extent cx="701802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6.2pt" to="587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457200</wp:posOffset>
                </wp:positionV>
                <wp:extent cx="0" cy="907986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7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36pt" to="34.65pt,750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7452360</wp:posOffset>
                </wp:positionH>
                <wp:positionV relativeFrom="page">
                  <wp:posOffset>457200</wp:posOffset>
                </wp:positionV>
                <wp:extent cx="0" cy="907986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079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6.8pt,36pt" to="586.8pt,750.9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1089025</wp:posOffset>
            </wp:positionH>
            <wp:positionV relativeFrom="paragraph">
              <wp:posOffset>15875</wp:posOffset>
            </wp:positionV>
            <wp:extent cx="4944110" cy="180911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1089025</wp:posOffset>
            </wp:positionH>
            <wp:positionV relativeFrom="paragraph">
              <wp:posOffset>15875</wp:posOffset>
            </wp:positionV>
            <wp:extent cx="4944110" cy="18091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180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jego warunków,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20" w:hanging="218"/>
        <w:spacing w:after="0" w:line="222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emitenta można wymagać wypełnienia obowiązku zakupu lub sprzedaży udziałów bazowych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sporządzająca opcje sprzedaży ponosi ryzyko straty równej różnicy między ceną wykonania opcji sprzedaży a zerem, jeżeli cena bazowych odsetek spadnie do zera.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takie niepokryte transakcje sprzedaży są zobowiązane do wniesienia depozytu zabezpieczającego (opisanego poniżej) u swojego brokera, co stwarza dodatkowe ryzyko.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jc w:val="both"/>
        <w:ind w:left="220" w:right="360" w:hanging="218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 terminowych, na której jedynym przedmiotem obrotu są opcje terminowe, stanie się niedostępna, inwestorzy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zaistnieć sytuacje, w których ceny opcji terminowych nie będą utrzymywać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kontrakt terminowy na zrealizowaną opcję jest niedostępny, zasady UOKiK mogą wymagać alternatywnej formy rozliczenia, takiej jak rozliczenie gotówkowe.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900" w:hanging="218"/>
        <w:spacing w:after="0" w:line="20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Inwestorzy powinni uwzględnić profil ryzyka i zysku kontraktu terminowego będącego podstawą opcji terminowej, zgodnie z opisem w odpowiednim dokumencie zawierającym kluczowe informacje dotyczącym bazowego kontraktu terminowego.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8"/>
        <w:spacing w:after="0" w:line="23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360" w:hanging="218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762115" cy="174053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115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19050</wp:posOffset>
            </wp:positionH>
            <wp:positionV relativeFrom="paragraph">
              <wp:posOffset>14605</wp:posOffset>
            </wp:positionV>
            <wp:extent cx="6762115" cy="17405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115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820"/>
          </w:cols>
          <w:pgMar w:left="800" w:top="706" w:right="620" w:bottom="292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9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4100" w:type="dxa"/>
            <w:vAlign w:val="bottom"/>
            <w:gridSpan w:val="4"/>
          </w:tcPr>
          <w:p>
            <w:pPr xmlns:w="http://schemas.openxmlformats.org/wordprocessingml/2006/main">
              <w:jc w:val="right"/>
              <w:ind w:right="41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 z napisania oferty (Premium $5; Cena ćwiczenia $45)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7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7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080" w:type="dxa"/>
            <w:vAlign w:val="bottom"/>
          </w:tcPr>
          <w:p>
            <w:pPr xmlns:w="http://schemas.openxmlformats.org/wordprocessingml/2006/main">
              <w:jc w:val="right"/>
              <w:ind w:right="13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1100" w:type="dxa"/>
            <w:vAlign w:val="bottom"/>
          </w:tcPr>
          <w:p>
            <w:pPr xmlns:w="http://schemas.openxmlformats.org/wordprocessingml/2006/main">
              <w:jc w:val="right"/>
              <w:ind w:right="25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1100" w:type="dxa"/>
            <w:vAlign w:val="bottom"/>
          </w:tcPr>
          <w:p>
            <w:pPr xmlns:w="http://schemas.openxmlformats.org/wordprocessingml/2006/main">
              <w:jc w:val="right"/>
              <w:ind w:right="3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820" w:type="dxa"/>
            <w:vAlign w:val="bottom"/>
          </w:tcPr>
          <w:p>
            <w:pPr xmlns:w="http://schemas.openxmlformats.org/wordprocessingml/2006/main">
              <w:jc w:val="right"/>
              <w:ind w:right="2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80 $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10 $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8"/>
        </w:trPr>
        <w:tc>
          <w:tcPr>
            <w:tcW w:w="16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P/L</w:t>
            </w: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- 10 USD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"/>
        </w:trPr>
        <w:tc>
          <w:tcPr>
            <w:tcW w:w="160" w:type="dxa"/>
            <w:vAlign w:val="bottom"/>
            <w:vMerge w:val="continue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2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5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 xmlns:w="http://schemas.openxmlformats.org/wordprocessingml/2006/main">
              <w:jc w:val="right"/>
              <w:ind w:right="3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- 30 USD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0" w:type="dxa"/>
            <w:vAlign w:val="bottom"/>
            <w:gridSpan w:val="2"/>
            <w:vMerge w:val="restart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8"/>
        </w:trPr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2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8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 (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)</w:t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Cena rynkowa: $15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1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8"/>
          <w:szCs w:val="18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Niekorzystny dla pisarza - $25</w:t>
      </w:r>
    </w:p>
    <w:p>
      <w:pPr xmlns:w="http://schemas.openxmlformats.org/wordprocessingml/2006/main">
        <w:ind w:left="140"/>
        <w:spacing w:after="0" w:line="210" w:lineRule="auto"/>
        <w:tabs>
          <w:tab w:leader="none" w:pos="190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8"/>
          <w:szCs w:val="18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color w:val="auto"/>
        </w:rPr>
        <w:t xml:space="preserve">+ 25 $</w:t>
      </w:r>
    </w:p>
    <w:p>
      <w:pPr>
        <w:spacing w:after="0" w:line="5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Umiarkowane Przesunięcie Rynkowe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 (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7"/>
          <w:szCs w:val="17"/>
          <w:u w:val="single" w:color="auto"/>
          <w:color w:val="auto"/>
        </w:rPr>
        <w:t xml:space="preserve">)</w:t>
      </w:r>
    </w:p>
    <w:p>
      <w:pPr>
        <w:spacing w:after="0" w:line="1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Cena rynkowa: $35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1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8"/>
          <w:szCs w:val="18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Niekorzystny dla pisarza - $5</w:t>
      </w:r>
    </w:p>
    <w:p>
      <w:pPr xmlns:w="http://schemas.openxmlformats.org/wordprocessingml/2006/main">
        <w:ind w:left="140"/>
        <w:spacing w:after="0" w:line="196" w:lineRule="auto"/>
        <w:tabs>
          <w:tab w:leader="none" w:pos="194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8"/>
          <w:szCs w:val="18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auto"/>
        </w:rPr>
        <w:t xml:space="preserve">+ 5$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42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minus premia.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200" w:space="440"/>
            <w:col w:w="4180"/>
          </w:cols>
          <w:pgMar w:left="800" w:top="706" w:right="620" w:bottom="292" w:gutter="0" w:footer="0" w:header="0"/>
          <w:type w:val="continuous"/>
        </w:sectPr>
      </w:pPr>
    </w:p>
    <w:p>
      <w:pPr>
        <w:spacing w:after="0" w:line="12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19685</wp:posOffset>
                </wp:positionV>
                <wp:extent cx="701738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73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499pt,1.55pt" to="547pt,1.5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820"/>
          </w:cols>
          <w:pgMar w:left="800" w:top="706" w:right="620" w:bottom="292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24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459740</wp:posOffset>
                </wp:positionV>
                <wp:extent cx="701802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36.2pt" to="587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6100445</wp:posOffset>
                </wp:positionV>
                <wp:extent cx="701802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480.35pt" to="587pt,480.3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436880</wp:posOffset>
                </wp:positionH>
                <wp:positionV relativeFrom="page">
                  <wp:posOffset>7640955</wp:posOffset>
                </wp:positionV>
                <wp:extent cx="701802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4pt,601.65pt" to="587pt,601.6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457200</wp:posOffset>
                </wp:positionV>
                <wp:extent cx="0" cy="896112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65pt,36pt" to="34.65pt,741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7452360</wp:posOffset>
                </wp:positionH>
                <wp:positionV relativeFrom="page">
                  <wp:posOffset>457200</wp:posOffset>
                </wp:positionV>
                <wp:extent cx="0" cy="896112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611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6.8pt,36pt" to="586.8pt,741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stosowane przez UOKiK zostały zaprojektowane w taki sposób, aby wyniki uzyskiwane na wszystkich opcjach terminowych były pomiędzy UOKiK a grupą firm maklerskich zwanych członkami rozliczającymi, które przenoszą pozycje wszystkich posiadaczy i emitentów opcji terminowych na swoje rachunki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obciążyć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Jeśli tak, ta osoba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przekaże Ci informację o tych kosztach oraz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6"/>
              </w:rPr>
              <w:t xml:space="preserve">Roczny wpływ na koszty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740" w:type="dxa"/>
            <w:vAlign w:val="bottom"/>
          </w:tcPr>
          <w:p>
            <w:pPr xmlns:w="http://schemas.openxmlformats.org/wordprocessingml/2006/main">
              <w:ind w:left="12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jak wpływają na Twoją inwestycję.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Łączne koszty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Opcje terminowe zależą od wielu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58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Premia jest kosztem zapłaconym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mające istotny wpływ na składkę obejmują, ale są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nie ogranicza się do wartości odsetek bazowych, czasu do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wygaśnięcie i cena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 transakcję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i wymogi dotyczące marży, które mogą mieć istotny wpływ 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zysku lub straty.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Na koszty transakcyjne składają się przede wszystkim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prowizje (nakładane przy otwieraniu, zamykaniu,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wykonania i cesji), ale może również obejmować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marży i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wymagane do złożenia depozytu przez emitenta w jego firmie maklerskiej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jako zabezpieczenie zobowiązania, stosownie do przypadku, do kupna lub sprzedaży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odsetki bazowe lub zapłacić kwotę rozliczenia gotówkowego.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przypadku wykonania i przypisania opcji emitent może ponieść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związane z bazowym kontraktem terminowym.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6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  <w:w w:val="99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Opłaty związane z opłatami UOKiK, odrębne od kosztów inwestora, dla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6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2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rozliczanie tego produktu członkom rozliczającym, ale nie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bezpośrednio do Ciebie: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mam go trzymać i czy mogę wcześnie wyjść z transakcji (czy mogę wcześniej wyjąć pieniądze)?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4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terminowej jest dla posiadacza kluczową decyzją inwestycyjną, podobnie jak decyzja posiadaczy opcji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kontrakt (kontrakty) opcyjne typu futures lub czy zamknąć istniejącą pozycję.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opcji terminowych,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),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), NFA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https://www.nfa.futures.org/basicnet/complaint.aspx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 lub CFTC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http://www.cftc.gov/ConsumerProtection/FileaTiporComplaint/index.htm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).</w:t>
      </w:r>
    </w:p>
    <w:p>
      <w:pPr>
        <w:spacing w:after="0" w:line="5" w:lineRule="exact"/>
        <w:rPr>
          <w:sz w:val="20"/>
          <w:szCs w:val="20"/>
          <w:color w:val="auto"/>
        </w:rPr>
      </w:pPr>
    </w:p>
    <w:tbl>
      <w:tblPr>
        <w:tblLayout w:type="fixed"/>
        <w:tblInd w:w="3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44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Skarga FINRA Investor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Amerykańskie Papiery Wartościowe i Giełdy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Krajowe Stowarzyszenie Kontraktów Terminowych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  <w:w w:val="98"/>
              </w:rPr>
              <w:t xml:space="preserve">Kontrakty terminowe na towary ze Stanów Zjednoczonych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Wyśrodkowanie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Komisja/Urząd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300 S. Riverside Plaza, #1800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Komisja Handlowa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9509 Key West Avenue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Edukacja inwestorska i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Chicago, IL 60606-6615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Centrum Trzech Lafayette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Rockville, MD 20850-3329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Rzecznictwo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312-781-1300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1155 21st Street, NW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(240) 386-HELP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100 F Street, Gdzie Indziej Niewymienione.</w:t>
            </w:r>
          </w:p>
        </w:tc>
        <w:tc>
          <w:tcPr>
            <w:tcW w:w="258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312-781-1467</w:t>
            </w: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20581</w:t>
            </w:r>
          </w:p>
        </w:tc>
      </w:tr>
      <w:tr>
        <w:trPr>
          <w:trHeight w:val="242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(4357)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Waszyngton, DC 20549-0213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 w:line="24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Telefon: 866-366-2382</w:t>
            </w:r>
          </w:p>
        </w:tc>
      </w:tr>
      <w:tr>
        <w:trPr>
          <w:trHeight w:val="245"/>
        </w:trPr>
        <w:tc>
          <w:tcPr>
            <w:tcW w:w="23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(866) 397-3290</w:t>
            </w:r>
          </w:p>
        </w:tc>
        <w:tc>
          <w:tcPr>
            <w:tcW w:w="26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(202) 772-9295</w:t>
            </w:r>
          </w:p>
        </w:tc>
        <w:tc>
          <w:tcPr>
            <w:tcW w:w="25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100" w:type="dxa"/>
            <w:vAlign w:val="bottom"/>
          </w:tcPr>
          <w:p>
            <w:pPr xmlns:w="http://schemas.openxmlformats.org/wordprocessingml/2006/main"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0"/>
                <w:szCs w:val="20"/>
                <w:color w:val="auto"/>
              </w:rPr>
              <w:t xml:space="preserve">Faks: 202-418-5521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14605</wp:posOffset>
                </wp:positionV>
                <wp:extent cx="701802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80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4pt,1.15pt" to="558pt,1.1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1160"/>
          </w:cols>
          <w:pgMar w:left="580" w:top="774" w:right="500" w:bottom="197" w:gutter="0" w:footer="0" w:header="0"/>
        </w:sectPr>
      </w:pPr>
    </w:p>
    <w:p>
      <w:pPr>
        <w:spacing w:after="0" w:line="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1"/>
          <w:szCs w:val="21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1160"/>
      </w:cols>
      <w:pgMar w:left="580" w:top="774" w:right="500" w:bottom="197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58224348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4D27408F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47ABF308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2024-05-21T09:26:44Z</dcterms:created>
  <dcterms:modified xsi:type="dcterms:W3CDTF">2024-05-21T09:26:44Z</dcterms:modified>
</cp:coreProperties>
</file>