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CE426" w14:textId="77777777" w:rsidR="00C96D82" w:rsidRDefault="00C33FD3">
      <w:pPr>
        <w:ind w:left="3720"/>
        <w:rPr>
          <w:sz w:val="20"/>
          <w:szCs w:val="20"/>
        </w:rPr>
      </w:pPr>
      <w:bookmarkStart w:id="0" w:name="page1"/>
      <w:bookmarkEnd w:id="0"/>
      <w:r>
        <w:rPr>
          <w:rFonts w:ascii="Arial" w:eastAsia="Arial" w:hAnsi="Arial" w:cs="Arial"/>
          <w:noProof/>
          <w:sz w:val="20"/>
          <w:szCs w:val="20"/>
        </w:rPr>
        <w:drawing>
          <wp:anchor distT="0" distB="0" distL="114300" distR="114300" simplePos="0" relativeHeight="251640320" behindDoc="1" locked="0" layoutInCell="0" allowOverlap="1" wp14:anchorId="5194CECF" wp14:editId="07777777">
            <wp:simplePos x="0" y="0"/>
            <wp:positionH relativeFrom="page">
              <wp:posOffset>396240</wp:posOffset>
            </wp:positionH>
            <wp:positionV relativeFrom="page">
              <wp:posOffset>360045</wp:posOffset>
            </wp:positionV>
            <wp:extent cx="1419225" cy="4762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1419225" cy="476250"/>
                    </a:xfrm>
                    <a:prstGeom prst="rect">
                      <a:avLst/>
                    </a:prstGeom>
                    <a:noFill/>
                  </pic:spPr>
                </pic:pic>
              </a:graphicData>
            </a:graphic>
          </wp:anchor>
        </w:drawing>
      </w:r>
      <w:r>
        <w:rPr>
          <w:rFonts w:ascii="Arial" w:eastAsia="Arial" w:hAnsi="Arial" w:cs="Arial"/>
          <w:sz w:val="20"/>
          <w:szCs w:val="20"/>
        </w:rPr>
        <w:t>INFORMACIÓN CLAVE PARA EL INVERSOR</w:t>
      </w:r>
    </w:p>
    <w:p w14:paraId="672A6659" w14:textId="77777777" w:rsidR="00C96D82" w:rsidRDefault="00C96D82">
      <w:pPr>
        <w:spacing w:line="67" w:lineRule="exact"/>
        <w:rPr>
          <w:sz w:val="24"/>
          <w:szCs w:val="24"/>
        </w:rPr>
      </w:pPr>
    </w:p>
    <w:p w14:paraId="619ACA6A" w14:textId="77777777" w:rsidR="00C96D82" w:rsidRDefault="00C33FD3">
      <w:pPr>
        <w:spacing w:line="315" w:lineRule="auto"/>
        <w:ind w:left="3720" w:right="120"/>
        <w:rPr>
          <w:sz w:val="20"/>
          <w:szCs w:val="20"/>
        </w:rPr>
      </w:pPr>
      <w:r>
        <w:rPr>
          <w:rFonts w:ascii="Arial" w:eastAsia="Arial" w:hAnsi="Arial" w:cs="Arial"/>
          <w:sz w:val="15"/>
          <w:szCs w:val="15"/>
        </w:rPr>
        <w:t>Este documento le proporciona información clave para el inversor sobre este Fondo. No es material de marketing.</w:t>
      </w:r>
      <w:r>
        <w:rPr>
          <w:rFonts w:ascii="Arial" w:eastAsia="Arial" w:hAnsi="Arial" w:cs="Arial"/>
          <w:sz w:val="15"/>
          <w:szCs w:val="15"/>
        </w:rPr>
        <w:t xml:space="preserve"> La información es requerida por ley para ayudarle a comprender la naturaleza y los riesgos de invertir en este Fondo. Se le aconseja que lo lea para que pueda tomar una decisión informada sobre si invertir o no.</w:t>
      </w:r>
    </w:p>
    <w:p w14:paraId="2EEFDE88" w14:textId="77777777" w:rsidR="00C96D82" w:rsidRDefault="00C33FD3">
      <w:pPr>
        <w:spacing w:line="20" w:lineRule="exact"/>
        <w:rPr>
          <w:sz w:val="24"/>
          <w:szCs w:val="24"/>
        </w:rPr>
      </w:pPr>
      <w:r>
        <w:rPr>
          <w:noProof/>
          <w:sz w:val="24"/>
          <w:szCs w:val="24"/>
        </w:rPr>
        <w:drawing>
          <wp:anchor distT="0" distB="0" distL="114300" distR="114300" simplePos="0" relativeHeight="251641344" behindDoc="1" locked="0" layoutInCell="0" allowOverlap="1" wp14:anchorId="585BEB22" wp14:editId="07777777">
            <wp:simplePos x="0" y="0"/>
            <wp:positionH relativeFrom="column">
              <wp:posOffset>-9525</wp:posOffset>
            </wp:positionH>
            <wp:positionV relativeFrom="paragraph">
              <wp:posOffset>-24765</wp:posOffset>
            </wp:positionV>
            <wp:extent cx="6767830" cy="6394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767830" cy="639445"/>
                    </a:xfrm>
                    <a:prstGeom prst="rect">
                      <a:avLst/>
                    </a:prstGeom>
                    <a:noFill/>
                  </pic:spPr>
                </pic:pic>
              </a:graphicData>
            </a:graphic>
          </wp:anchor>
        </w:drawing>
      </w:r>
    </w:p>
    <w:p w14:paraId="0A37501D" w14:textId="77777777" w:rsidR="00C96D82" w:rsidRDefault="00C96D82">
      <w:pPr>
        <w:spacing w:line="42" w:lineRule="exact"/>
        <w:rPr>
          <w:sz w:val="24"/>
          <w:szCs w:val="24"/>
        </w:rPr>
      </w:pPr>
    </w:p>
    <w:tbl>
      <w:tblPr>
        <w:tblW w:w="0" w:type="auto"/>
        <w:tblInd w:w="60" w:type="dxa"/>
        <w:tblLayout w:type="fixed"/>
        <w:tblCellMar>
          <w:left w:w="0" w:type="dxa"/>
          <w:right w:w="0" w:type="dxa"/>
        </w:tblCellMar>
        <w:tblLook w:val="04A0" w:firstRow="1" w:lastRow="0" w:firstColumn="1" w:lastColumn="0" w:noHBand="0" w:noVBand="1"/>
      </w:tblPr>
      <w:tblGrid>
        <w:gridCol w:w="4900"/>
        <w:gridCol w:w="2500"/>
        <w:gridCol w:w="2140"/>
        <w:gridCol w:w="20"/>
      </w:tblGrid>
      <w:tr w:rsidR="00C96D82" w14:paraId="39367945" w14:textId="77777777">
        <w:trPr>
          <w:trHeight w:val="345"/>
        </w:trPr>
        <w:tc>
          <w:tcPr>
            <w:tcW w:w="4900" w:type="dxa"/>
            <w:vAlign w:val="bottom"/>
          </w:tcPr>
          <w:p w14:paraId="7C485B34" w14:textId="77777777" w:rsidR="00C96D82" w:rsidRDefault="00C33FD3">
            <w:pPr>
              <w:rPr>
                <w:sz w:val="20"/>
                <w:szCs w:val="20"/>
              </w:rPr>
            </w:pPr>
            <w:r>
              <w:rPr>
                <w:rFonts w:ascii="Arial" w:eastAsia="Arial" w:hAnsi="Arial" w:cs="Arial"/>
                <w:color w:val="FFFFFF"/>
                <w:w w:val="96"/>
                <w:sz w:val="28"/>
                <w:szCs w:val="28"/>
              </w:rPr>
              <w:t>iShares US Aggregate Bond UCITS ETF</w:t>
            </w:r>
          </w:p>
        </w:tc>
        <w:tc>
          <w:tcPr>
            <w:tcW w:w="2500" w:type="dxa"/>
            <w:vAlign w:val="bottom"/>
          </w:tcPr>
          <w:p w14:paraId="324A8377" w14:textId="77777777" w:rsidR="00C96D82" w:rsidRDefault="00C33FD3">
            <w:pPr>
              <w:ind w:left="440"/>
              <w:rPr>
                <w:sz w:val="20"/>
                <w:szCs w:val="20"/>
              </w:rPr>
            </w:pPr>
            <w:r>
              <w:rPr>
                <w:rFonts w:ascii="Arial" w:eastAsia="Arial" w:hAnsi="Arial" w:cs="Arial"/>
                <w:w w:val="88"/>
              </w:rPr>
              <w:t xml:space="preserve">USD </w:t>
            </w:r>
            <w:r>
              <w:rPr>
                <w:rFonts w:ascii="Arial" w:eastAsia="Arial" w:hAnsi="Arial" w:cs="Arial"/>
                <w:w w:val="88"/>
              </w:rPr>
              <w:t>(Acc) Compartir Clase</w:t>
            </w:r>
          </w:p>
        </w:tc>
        <w:tc>
          <w:tcPr>
            <w:tcW w:w="2140" w:type="dxa"/>
            <w:vMerge w:val="restart"/>
            <w:vAlign w:val="bottom"/>
          </w:tcPr>
          <w:p w14:paraId="5D554CF7" w14:textId="77777777" w:rsidR="00C96D82" w:rsidRDefault="00C33FD3">
            <w:pPr>
              <w:ind w:left="40"/>
              <w:rPr>
                <w:sz w:val="20"/>
                <w:szCs w:val="20"/>
              </w:rPr>
            </w:pPr>
            <w:r>
              <w:rPr>
                <w:rFonts w:ascii="Arial" w:eastAsia="Arial" w:hAnsi="Arial" w:cs="Arial"/>
                <w:w w:val="86"/>
                <w:sz w:val="18"/>
                <w:szCs w:val="18"/>
              </w:rPr>
              <w:t>Fondo cotizado (ETF)</w:t>
            </w:r>
          </w:p>
        </w:tc>
        <w:tc>
          <w:tcPr>
            <w:tcW w:w="0" w:type="dxa"/>
            <w:vAlign w:val="bottom"/>
          </w:tcPr>
          <w:p w14:paraId="5DAB6C7B" w14:textId="77777777" w:rsidR="00C96D82" w:rsidRDefault="00C96D82">
            <w:pPr>
              <w:rPr>
                <w:sz w:val="1"/>
                <w:szCs w:val="1"/>
              </w:rPr>
            </w:pPr>
          </w:p>
        </w:tc>
      </w:tr>
      <w:tr w:rsidR="00C96D82" w14:paraId="5DB2C710" w14:textId="77777777">
        <w:trPr>
          <w:trHeight w:val="242"/>
        </w:trPr>
        <w:tc>
          <w:tcPr>
            <w:tcW w:w="4900" w:type="dxa"/>
            <w:vMerge w:val="restart"/>
            <w:vAlign w:val="bottom"/>
          </w:tcPr>
          <w:p w14:paraId="47707A4C" w14:textId="77777777" w:rsidR="00C96D82" w:rsidRDefault="00C33FD3">
            <w:pPr>
              <w:rPr>
                <w:sz w:val="20"/>
                <w:szCs w:val="20"/>
              </w:rPr>
            </w:pPr>
            <w:r>
              <w:rPr>
                <w:rFonts w:ascii="Arial" w:eastAsia="Arial" w:hAnsi="Arial" w:cs="Arial"/>
                <w:color w:val="FFFFFF"/>
                <w:sz w:val="20"/>
                <w:szCs w:val="20"/>
              </w:rPr>
              <w:t>Un subfondo de iShares II plc</w:t>
            </w:r>
          </w:p>
        </w:tc>
        <w:tc>
          <w:tcPr>
            <w:tcW w:w="2500" w:type="dxa"/>
            <w:vAlign w:val="bottom"/>
          </w:tcPr>
          <w:p w14:paraId="35D97DB3" w14:textId="77777777" w:rsidR="00C96D82" w:rsidRDefault="00C33FD3">
            <w:pPr>
              <w:ind w:left="440"/>
              <w:rPr>
                <w:sz w:val="20"/>
                <w:szCs w:val="20"/>
              </w:rPr>
            </w:pPr>
            <w:r>
              <w:rPr>
                <w:rFonts w:ascii="Arial" w:eastAsia="Arial" w:hAnsi="Arial" w:cs="Arial"/>
                <w:sz w:val="18"/>
                <w:szCs w:val="18"/>
              </w:rPr>
              <w:t>ISIN: IE00BYXYYM63</w:t>
            </w:r>
          </w:p>
        </w:tc>
        <w:tc>
          <w:tcPr>
            <w:tcW w:w="2140" w:type="dxa"/>
            <w:vMerge/>
            <w:vAlign w:val="bottom"/>
          </w:tcPr>
          <w:p w14:paraId="02EB378F" w14:textId="77777777" w:rsidR="00C96D82" w:rsidRDefault="00C96D82">
            <w:pPr>
              <w:rPr>
                <w:sz w:val="21"/>
                <w:szCs w:val="21"/>
              </w:rPr>
            </w:pPr>
          </w:p>
        </w:tc>
        <w:tc>
          <w:tcPr>
            <w:tcW w:w="0" w:type="dxa"/>
            <w:vAlign w:val="bottom"/>
          </w:tcPr>
          <w:p w14:paraId="6A05A809" w14:textId="77777777" w:rsidR="00C96D82" w:rsidRDefault="00C96D82">
            <w:pPr>
              <w:rPr>
                <w:sz w:val="1"/>
                <w:szCs w:val="1"/>
              </w:rPr>
            </w:pPr>
          </w:p>
        </w:tc>
      </w:tr>
      <w:tr w:rsidR="00C96D82" w14:paraId="5A39BBE3" w14:textId="77777777">
        <w:trPr>
          <w:trHeight w:val="104"/>
        </w:trPr>
        <w:tc>
          <w:tcPr>
            <w:tcW w:w="4900" w:type="dxa"/>
            <w:vMerge/>
            <w:vAlign w:val="bottom"/>
          </w:tcPr>
          <w:p w14:paraId="41C8F396" w14:textId="77777777" w:rsidR="00C96D82" w:rsidRDefault="00C96D82">
            <w:pPr>
              <w:rPr>
                <w:sz w:val="9"/>
                <w:szCs w:val="9"/>
              </w:rPr>
            </w:pPr>
          </w:p>
        </w:tc>
        <w:tc>
          <w:tcPr>
            <w:tcW w:w="2500" w:type="dxa"/>
            <w:vAlign w:val="bottom"/>
          </w:tcPr>
          <w:p w14:paraId="72A3D3EC" w14:textId="77777777" w:rsidR="00C96D82" w:rsidRDefault="00C96D82">
            <w:pPr>
              <w:rPr>
                <w:sz w:val="9"/>
                <w:szCs w:val="9"/>
              </w:rPr>
            </w:pPr>
          </w:p>
        </w:tc>
        <w:tc>
          <w:tcPr>
            <w:tcW w:w="2140" w:type="dxa"/>
            <w:vAlign w:val="bottom"/>
          </w:tcPr>
          <w:p w14:paraId="0D0B940D" w14:textId="77777777" w:rsidR="00C96D82" w:rsidRDefault="00C96D82">
            <w:pPr>
              <w:rPr>
                <w:sz w:val="9"/>
                <w:szCs w:val="9"/>
              </w:rPr>
            </w:pPr>
          </w:p>
        </w:tc>
        <w:tc>
          <w:tcPr>
            <w:tcW w:w="0" w:type="dxa"/>
            <w:vAlign w:val="bottom"/>
          </w:tcPr>
          <w:p w14:paraId="0E27B00A" w14:textId="77777777" w:rsidR="00C96D82" w:rsidRDefault="00C96D82">
            <w:pPr>
              <w:rPr>
                <w:sz w:val="1"/>
                <w:szCs w:val="1"/>
              </w:rPr>
            </w:pPr>
          </w:p>
        </w:tc>
      </w:tr>
    </w:tbl>
    <w:p w14:paraId="1E33F779" w14:textId="77777777" w:rsidR="00C96D82" w:rsidRDefault="00C33FD3">
      <w:pPr>
        <w:spacing w:line="215" w:lineRule="auto"/>
        <w:ind w:left="5400"/>
        <w:rPr>
          <w:sz w:val="20"/>
          <w:szCs w:val="20"/>
        </w:rPr>
      </w:pPr>
      <w:r>
        <w:rPr>
          <w:rFonts w:ascii="Arial" w:eastAsia="Arial" w:hAnsi="Arial" w:cs="Arial"/>
          <w:sz w:val="18"/>
          <w:szCs w:val="18"/>
        </w:rPr>
        <w:t>Responsable: BlackRock Asset Management Ireland Limited</w:t>
      </w:r>
    </w:p>
    <w:p w14:paraId="60061E4C" w14:textId="77777777" w:rsidR="00C96D82" w:rsidRDefault="00C96D82">
      <w:pPr>
        <w:spacing w:line="71" w:lineRule="exact"/>
        <w:rPr>
          <w:sz w:val="24"/>
          <w:szCs w:val="24"/>
        </w:rPr>
      </w:pPr>
    </w:p>
    <w:p w14:paraId="3091897A" w14:textId="77777777" w:rsidR="00C96D82" w:rsidRDefault="00C33FD3">
      <w:pPr>
        <w:rPr>
          <w:sz w:val="20"/>
          <w:szCs w:val="20"/>
        </w:rPr>
      </w:pPr>
      <w:r>
        <w:rPr>
          <w:rFonts w:ascii="Arial" w:eastAsia="Arial" w:hAnsi="Arial" w:cs="Arial"/>
          <w:sz w:val="26"/>
          <w:szCs w:val="26"/>
        </w:rPr>
        <w:t>Objetivos y política de inversión</w:t>
      </w:r>
    </w:p>
    <w:p w14:paraId="18D6FD7A" w14:textId="77777777" w:rsidR="00C96D82" w:rsidRDefault="00C33FD3">
      <w:pPr>
        <w:spacing w:line="20" w:lineRule="exact"/>
        <w:rPr>
          <w:sz w:val="24"/>
          <w:szCs w:val="24"/>
        </w:rPr>
      </w:pPr>
      <w:r>
        <w:rPr>
          <w:noProof/>
          <w:sz w:val="24"/>
          <w:szCs w:val="24"/>
        </w:rPr>
        <w:drawing>
          <wp:anchor distT="0" distB="0" distL="114300" distR="114300" simplePos="0" relativeHeight="251642368" behindDoc="1" locked="0" layoutInCell="0" allowOverlap="1" wp14:anchorId="0C88E5B6" wp14:editId="07777777">
            <wp:simplePos x="0" y="0"/>
            <wp:positionH relativeFrom="column">
              <wp:posOffset>-9525</wp:posOffset>
            </wp:positionH>
            <wp:positionV relativeFrom="paragraph">
              <wp:posOffset>22860</wp:posOffset>
            </wp:positionV>
            <wp:extent cx="6767830" cy="9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6767830" cy="9525"/>
                    </a:xfrm>
                    <a:prstGeom prst="rect">
                      <a:avLst/>
                    </a:prstGeom>
                    <a:noFill/>
                  </pic:spPr>
                </pic:pic>
              </a:graphicData>
            </a:graphic>
          </wp:anchor>
        </w:drawing>
      </w:r>
    </w:p>
    <w:p w14:paraId="44EAFD9C" w14:textId="77777777" w:rsidR="00C96D82" w:rsidRDefault="00C96D82">
      <w:pPr>
        <w:spacing w:line="74" w:lineRule="exact"/>
        <w:rPr>
          <w:sz w:val="24"/>
          <w:szCs w:val="24"/>
        </w:rPr>
      </w:pPr>
    </w:p>
    <w:p w14:paraId="7A13E6D2" w14:textId="77777777" w:rsidR="00C96D82" w:rsidRDefault="00C33FD3">
      <w:pPr>
        <w:ind w:left="140" w:right="400" w:hanging="134"/>
        <w:rPr>
          <w:sz w:val="20"/>
          <w:szCs w:val="20"/>
        </w:rPr>
      </w:pPr>
      <w:r>
        <w:rPr>
          <w:noProof/>
          <w:sz w:val="1"/>
          <w:szCs w:val="1"/>
        </w:rPr>
        <w:drawing>
          <wp:inline distT="0" distB="0" distL="0" distR="0" wp14:anchorId="4EE08681" wp14:editId="07777777">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5720" cy="77470"/>
                    </a:xfrm>
                    <a:prstGeom prst="rect">
                      <a:avLst/>
                    </a:prstGeom>
                    <a:noFill/>
                    <a:ln>
                      <a:noFill/>
                    </a:ln>
                  </pic:spPr>
                </pic:pic>
              </a:graphicData>
            </a:graphic>
          </wp:inline>
        </w:drawing>
      </w:r>
      <w:r>
        <w:rPr>
          <w:rFonts w:ascii="Arial" w:eastAsia="Arial" w:hAnsi="Arial" w:cs="Arial"/>
          <w:sz w:val="16"/>
          <w:szCs w:val="16"/>
        </w:rPr>
        <w:t xml:space="preserve"> La clase de acciones es una clase de acciones de un fondo que tiene como objetivo lograr un rendimiento de su inversión, a través de una combinación de crecimiento de capital e ingresos sobre las inversiones de los fondos, que refleja el rendimiento del B</w:t>
      </w:r>
      <w:r>
        <w:rPr>
          <w:rFonts w:ascii="Arial" w:eastAsia="Arial" w:hAnsi="Arial" w:cs="Arial"/>
          <w:sz w:val="16"/>
          <w:szCs w:val="16"/>
        </w:rPr>
        <w:t>loomberg Barclays US Aggregate Bond Index, el índice de referencia del fondo (Index).</w:t>
      </w:r>
    </w:p>
    <w:p w14:paraId="4B94D5A5" w14:textId="77777777" w:rsidR="00C96D82" w:rsidRDefault="00C96D82">
      <w:pPr>
        <w:spacing w:line="28" w:lineRule="exact"/>
        <w:rPr>
          <w:sz w:val="24"/>
          <w:szCs w:val="24"/>
        </w:rPr>
      </w:pPr>
    </w:p>
    <w:p w14:paraId="135DC9C2" w14:textId="77777777" w:rsidR="00C96D82" w:rsidRDefault="00C33FD3">
      <w:pPr>
        <w:ind w:left="140" w:right="60" w:hanging="134"/>
        <w:rPr>
          <w:sz w:val="20"/>
          <w:szCs w:val="20"/>
        </w:rPr>
      </w:pPr>
      <w:r>
        <w:rPr>
          <w:noProof/>
          <w:sz w:val="1"/>
          <w:szCs w:val="1"/>
        </w:rPr>
        <w:drawing>
          <wp:inline distT="0" distB="0" distL="0" distR="0" wp14:anchorId="110BF0BB" wp14:editId="07777777">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5720" cy="77470"/>
                    </a:xfrm>
                    <a:prstGeom prst="rect">
                      <a:avLst/>
                    </a:prstGeom>
                    <a:noFill/>
                    <a:ln>
                      <a:noFill/>
                    </a:ln>
                  </pic:spPr>
                </pic:pic>
              </a:graphicData>
            </a:graphic>
          </wp:inline>
        </w:drawing>
      </w:r>
      <w:r>
        <w:rPr>
          <w:rFonts w:ascii="Arial" w:eastAsia="Arial" w:hAnsi="Arial" w:cs="Arial"/>
          <w:sz w:val="16"/>
          <w:szCs w:val="16"/>
        </w:rPr>
        <w:t xml:space="preserve"> La clase de acciones, a través del Fondo, se gestiona de forma pasiva y tiene por objeto invertir, en la medida de lo posible y factible, en valores de renta fija (FI)</w:t>
      </w:r>
      <w:r>
        <w:rPr>
          <w:rFonts w:ascii="Arial" w:eastAsia="Arial" w:hAnsi="Arial" w:cs="Arial"/>
          <w:sz w:val="16"/>
          <w:szCs w:val="16"/>
        </w:rPr>
        <w:t xml:space="preserve"> (como bonos) que componen el índice y cumplen sus requisitos de calificación crediticia. Si las calificaciones crediticias de los valores de FI se rebajan, la Caja podrá seguir manteniéndolas hasta que dejen de formar parte del índice y sea factible vende</w:t>
      </w:r>
      <w:r>
        <w:rPr>
          <w:rFonts w:ascii="Arial" w:eastAsia="Arial" w:hAnsi="Arial" w:cs="Arial"/>
          <w:sz w:val="16"/>
          <w:szCs w:val="16"/>
        </w:rPr>
        <w:t>rlas.</w:t>
      </w:r>
    </w:p>
    <w:p w14:paraId="3DEEC669" w14:textId="77777777" w:rsidR="00C96D82" w:rsidRDefault="00C96D82">
      <w:pPr>
        <w:spacing w:line="28" w:lineRule="exact"/>
        <w:rPr>
          <w:sz w:val="24"/>
          <w:szCs w:val="24"/>
        </w:rPr>
      </w:pPr>
    </w:p>
    <w:p w14:paraId="304ED0C5" w14:textId="77777777" w:rsidR="00C96D82" w:rsidRDefault="00C33FD3">
      <w:pPr>
        <w:ind w:left="140" w:hanging="134"/>
        <w:rPr>
          <w:sz w:val="20"/>
          <w:szCs w:val="20"/>
        </w:rPr>
      </w:pPr>
      <w:r>
        <w:rPr>
          <w:noProof/>
          <w:sz w:val="1"/>
          <w:szCs w:val="1"/>
        </w:rPr>
        <w:drawing>
          <wp:inline distT="0" distB="0" distL="0" distR="0" wp14:anchorId="183C4CA7" wp14:editId="07777777">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45720" cy="77470"/>
                    </a:xfrm>
                    <a:prstGeom prst="rect">
                      <a:avLst/>
                    </a:prstGeom>
                    <a:noFill/>
                    <a:ln>
                      <a:noFill/>
                    </a:ln>
                  </pic:spPr>
                </pic:pic>
              </a:graphicData>
            </a:graphic>
          </wp:inline>
        </w:drawing>
      </w:r>
      <w:r>
        <w:rPr>
          <w:rFonts w:ascii="Arial" w:eastAsia="Arial" w:hAnsi="Arial" w:cs="Arial"/>
          <w:sz w:val="16"/>
          <w:szCs w:val="16"/>
        </w:rPr>
        <w:t xml:space="preserve"> El Índice mide el desempeño del mercado de bonos gravables denominados en dólares estadounidenses. Los valores de FI pueden ser emitidos por el Tesoro de EE.UU., agencias gubernamentales y empresas y pueden incluir valores respaldados por activos,</w:t>
      </w:r>
      <w:r>
        <w:rPr>
          <w:rFonts w:ascii="Arial" w:eastAsia="Arial" w:hAnsi="Arial" w:cs="Arial"/>
          <w:sz w:val="16"/>
          <w:szCs w:val="16"/>
        </w:rPr>
        <w:t xml:space="preserve"> respaldados por hipotecas comerciales y respaldados por hipotecas (es decir, valores financieros respaldados por flujos de efectivo de deuda). Los valores de FI estarán denominados en dólares estadounidenses, pagarán ingresos de acuerdo con una tasa fija </w:t>
      </w:r>
      <w:r>
        <w:rPr>
          <w:rFonts w:ascii="Arial" w:eastAsia="Arial" w:hAnsi="Arial" w:cs="Arial"/>
          <w:sz w:val="16"/>
          <w:szCs w:val="16"/>
        </w:rPr>
        <w:t>de interés y, en el momento de la inclusión en el índice, serán de grado de inversión (es decir, cumplirán un nivel especificado de solvencia). Solo se considerarán para su inclusión en el índice los bonos con un plazo mínimo de vencimiento de un año.</w:t>
      </w:r>
    </w:p>
    <w:p w14:paraId="3656B9AB" w14:textId="77777777" w:rsidR="00C96D82" w:rsidRDefault="00C96D82">
      <w:pPr>
        <w:spacing w:line="28" w:lineRule="exact"/>
        <w:rPr>
          <w:sz w:val="24"/>
          <w:szCs w:val="24"/>
        </w:rPr>
      </w:pPr>
    </w:p>
    <w:p w14:paraId="66AAC441" w14:textId="77777777" w:rsidR="00C96D82" w:rsidRDefault="00C33FD3">
      <w:pPr>
        <w:ind w:left="140" w:right="140" w:hanging="134"/>
        <w:rPr>
          <w:sz w:val="20"/>
          <w:szCs w:val="20"/>
        </w:rPr>
      </w:pPr>
      <w:r>
        <w:rPr>
          <w:noProof/>
          <w:sz w:val="1"/>
          <w:szCs w:val="1"/>
        </w:rPr>
        <w:drawing>
          <wp:inline distT="0" distB="0" distL="0" distR="0" wp14:anchorId="4BB15FBF" wp14:editId="07777777">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45720" cy="77470"/>
                    </a:xfrm>
                    <a:prstGeom prst="rect">
                      <a:avLst/>
                    </a:prstGeom>
                    <a:noFill/>
                    <a:ln>
                      <a:noFill/>
                    </a:ln>
                  </pic:spPr>
                </pic:pic>
              </a:graphicData>
            </a:graphic>
          </wp:inline>
        </w:drawing>
      </w:r>
      <w:r>
        <w:rPr>
          <w:rFonts w:ascii="Arial" w:eastAsia="Arial" w:hAnsi="Arial" w:cs="Arial"/>
          <w:sz w:val="16"/>
          <w:szCs w:val="16"/>
        </w:rPr>
        <w:t xml:space="preserve"> L</w:t>
      </w:r>
      <w:r>
        <w:rPr>
          <w:rFonts w:ascii="Arial" w:eastAsia="Arial" w:hAnsi="Arial" w:cs="Arial"/>
          <w:sz w:val="16"/>
          <w:szCs w:val="16"/>
        </w:rPr>
        <w:t>a Caja utiliza técnicas de optimización para lograr un rendimiento similar de su índice. Estos pueden incluir la selección estratégica de determinados valores que componen el índice u otros valores de FI que proporcionan un rendimiento similar a determinad</w:t>
      </w:r>
      <w:r>
        <w:rPr>
          <w:rFonts w:ascii="Arial" w:eastAsia="Arial" w:hAnsi="Arial" w:cs="Arial"/>
          <w:sz w:val="16"/>
          <w:szCs w:val="16"/>
        </w:rPr>
        <w:t xml:space="preserve">os valores constitutivos. También pueden incluir el uso de instrumentos financieros derivados (IED) (es decir, inversiones cuyos precios se basan en uno o más activos subyacentes). Las IED pueden utilizarse con fines de inversión directa. Se espera que el </w:t>
      </w:r>
      <w:r>
        <w:rPr>
          <w:rFonts w:ascii="Arial" w:eastAsia="Arial" w:hAnsi="Arial" w:cs="Arial"/>
          <w:sz w:val="16"/>
          <w:szCs w:val="16"/>
        </w:rPr>
        <w:t>uso de IED sea limitado para esta clase de acciones.</w:t>
      </w:r>
    </w:p>
    <w:p w14:paraId="45FB0818" w14:textId="77777777" w:rsidR="00C96D82" w:rsidRDefault="00C96D82">
      <w:pPr>
        <w:spacing w:line="28" w:lineRule="exact"/>
        <w:rPr>
          <w:sz w:val="24"/>
          <w:szCs w:val="24"/>
        </w:rPr>
      </w:pPr>
    </w:p>
    <w:p w14:paraId="544A0DF1" w14:textId="77777777" w:rsidR="00C96D82" w:rsidRDefault="00C33FD3">
      <w:pPr>
        <w:ind w:left="20"/>
        <w:rPr>
          <w:sz w:val="20"/>
          <w:szCs w:val="20"/>
        </w:rPr>
      </w:pPr>
      <w:r>
        <w:rPr>
          <w:noProof/>
          <w:sz w:val="1"/>
          <w:szCs w:val="1"/>
        </w:rPr>
        <w:drawing>
          <wp:inline distT="0" distB="0" distL="0" distR="0" wp14:anchorId="0AF99CD5" wp14:editId="07777777">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45720" cy="77470"/>
                    </a:xfrm>
                    <a:prstGeom prst="rect">
                      <a:avLst/>
                    </a:prstGeom>
                    <a:noFill/>
                    <a:ln>
                      <a:noFill/>
                    </a:ln>
                  </pic:spPr>
                </pic:pic>
              </a:graphicData>
            </a:graphic>
          </wp:inline>
        </w:drawing>
      </w:r>
      <w:r>
        <w:rPr>
          <w:rFonts w:ascii="Arial" w:eastAsia="Arial" w:hAnsi="Arial" w:cs="Arial"/>
          <w:sz w:val="15"/>
          <w:szCs w:val="15"/>
        </w:rPr>
        <w:t xml:space="preserve"> Recomendación: Este Fondo es adecuado para inversiones a medio y largo plazo, aunque también puede ser adecuado para exposiciones a corto plazo al Índice.</w:t>
      </w:r>
    </w:p>
    <w:p w14:paraId="049F31CB" w14:textId="77777777" w:rsidR="00C96D82" w:rsidRDefault="00C96D82">
      <w:pPr>
        <w:spacing w:line="60" w:lineRule="exact"/>
        <w:rPr>
          <w:sz w:val="24"/>
          <w:szCs w:val="24"/>
        </w:rPr>
      </w:pPr>
    </w:p>
    <w:p w14:paraId="511D5418" w14:textId="77777777" w:rsidR="00C96D82" w:rsidRDefault="00C33FD3">
      <w:pPr>
        <w:ind w:left="180"/>
        <w:rPr>
          <w:sz w:val="20"/>
          <w:szCs w:val="20"/>
        </w:rPr>
      </w:pPr>
      <w:r>
        <w:rPr>
          <w:rFonts w:ascii="Arial" w:eastAsia="Arial" w:hAnsi="Arial" w:cs="Arial"/>
          <w:sz w:val="16"/>
          <w:szCs w:val="16"/>
        </w:rPr>
        <w:t>Sus acciones serán acciones acumuladas (es d</w:t>
      </w:r>
      <w:r>
        <w:rPr>
          <w:rFonts w:ascii="Arial" w:eastAsia="Arial" w:hAnsi="Arial" w:cs="Arial"/>
          <w:sz w:val="16"/>
          <w:szCs w:val="16"/>
        </w:rPr>
        <w:t>ecir, los ingresos se incluirán en su valor).</w:t>
      </w:r>
    </w:p>
    <w:p w14:paraId="557E4E7E" w14:textId="77777777" w:rsidR="00C96D82" w:rsidRDefault="00C33FD3">
      <w:pPr>
        <w:spacing w:line="20" w:lineRule="exact"/>
        <w:rPr>
          <w:sz w:val="24"/>
          <w:szCs w:val="24"/>
        </w:rPr>
      </w:pPr>
      <w:r>
        <w:rPr>
          <w:noProof/>
          <w:sz w:val="24"/>
          <w:szCs w:val="24"/>
        </w:rPr>
        <w:drawing>
          <wp:anchor distT="0" distB="0" distL="114300" distR="114300" simplePos="0" relativeHeight="251643392" behindDoc="1" locked="0" layoutInCell="0" allowOverlap="1" wp14:anchorId="71827496" wp14:editId="07777777">
            <wp:simplePos x="0" y="0"/>
            <wp:positionH relativeFrom="column">
              <wp:posOffset>8890</wp:posOffset>
            </wp:positionH>
            <wp:positionV relativeFrom="paragraph">
              <wp:posOffset>-84455</wp:posOffset>
            </wp:positionV>
            <wp:extent cx="45720" cy="7747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53128261" w14:textId="77777777" w:rsidR="00C96D82" w:rsidRDefault="00C96D82">
      <w:pPr>
        <w:spacing w:line="28" w:lineRule="exact"/>
        <w:rPr>
          <w:sz w:val="24"/>
          <w:szCs w:val="24"/>
        </w:rPr>
      </w:pPr>
    </w:p>
    <w:p w14:paraId="6A36A49D" w14:textId="77777777" w:rsidR="00C96D82" w:rsidRDefault="00C33FD3">
      <w:pPr>
        <w:ind w:left="180"/>
        <w:rPr>
          <w:sz w:val="20"/>
          <w:szCs w:val="20"/>
        </w:rPr>
      </w:pPr>
      <w:r>
        <w:rPr>
          <w:rFonts w:ascii="Arial" w:eastAsia="Arial" w:hAnsi="Arial" w:cs="Arial"/>
          <w:sz w:val="16"/>
          <w:szCs w:val="16"/>
        </w:rPr>
        <w:t>Sus acciones estarán denominadas en dólares estadounidenses, la moneda base del Fondo.</w:t>
      </w:r>
    </w:p>
    <w:p w14:paraId="754250A9" w14:textId="77777777" w:rsidR="00C96D82" w:rsidRDefault="00C33FD3">
      <w:pPr>
        <w:spacing w:line="20" w:lineRule="exact"/>
        <w:rPr>
          <w:sz w:val="24"/>
          <w:szCs w:val="24"/>
        </w:rPr>
      </w:pPr>
      <w:r>
        <w:rPr>
          <w:noProof/>
          <w:sz w:val="24"/>
          <w:szCs w:val="24"/>
        </w:rPr>
        <w:drawing>
          <wp:anchor distT="0" distB="0" distL="114300" distR="114300" simplePos="0" relativeHeight="251644416" behindDoc="1" locked="0" layoutInCell="0" allowOverlap="1" wp14:anchorId="1DD9CE95" wp14:editId="07777777">
            <wp:simplePos x="0" y="0"/>
            <wp:positionH relativeFrom="column">
              <wp:posOffset>8890</wp:posOffset>
            </wp:positionH>
            <wp:positionV relativeFrom="paragraph">
              <wp:posOffset>-83820</wp:posOffset>
            </wp:positionV>
            <wp:extent cx="45720" cy="7747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62486C05" w14:textId="77777777" w:rsidR="00C96D82" w:rsidRDefault="00C96D82">
      <w:pPr>
        <w:spacing w:line="28" w:lineRule="exact"/>
        <w:rPr>
          <w:sz w:val="24"/>
          <w:szCs w:val="24"/>
        </w:rPr>
      </w:pPr>
    </w:p>
    <w:p w14:paraId="63121448" w14:textId="77777777" w:rsidR="00C96D82" w:rsidRDefault="00C33FD3">
      <w:pPr>
        <w:spacing w:line="345" w:lineRule="auto"/>
        <w:ind w:left="180" w:right="60"/>
        <w:rPr>
          <w:sz w:val="20"/>
          <w:szCs w:val="20"/>
        </w:rPr>
      </w:pPr>
      <w:r>
        <w:rPr>
          <w:rFonts w:ascii="Arial" w:eastAsia="Arial" w:hAnsi="Arial" w:cs="Arial"/>
          <w:sz w:val="14"/>
          <w:szCs w:val="14"/>
        </w:rPr>
        <w:t>Las acciones cotizan en una o más bolsas de valores y pueden negociarse en monedas distintas de su moneda de base. El</w:t>
      </w:r>
      <w:r>
        <w:rPr>
          <w:rFonts w:ascii="Arial" w:eastAsia="Arial" w:hAnsi="Arial" w:cs="Arial"/>
          <w:sz w:val="14"/>
          <w:szCs w:val="14"/>
        </w:rPr>
        <w:t xml:space="preserve"> rendimiento de sus acciones puede verse afectado por esta diferencia de moneda. En circunstancias normales, sólo los participantes autorizados (por ejemplo, determinadas instituciones financieras) pueden negociar directamente con el Fondo acciones (o part</w:t>
      </w:r>
      <w:r>
        <w:rPr>
          <w:rFonts w:ascii="Arial" w:eastAsia="Arial" w:hAnsi="Arial" w:cs="Arial"/>
          <w:sz w:val="14"/>
          <w:szCs w:val="14"/>
        </w:rPr>
        <w:t>icipaciones en acciones). Otros inversores pueden operar diariamente con acciones (o participaciones en acciones) a través de un intermediario en una o varias bolsas en las que se negocian las acciones.</w:t>
      </w:r>
    </w:p>
    <w:p w14:paraId="54FE9ACD" w14:textId="77777777" w:rsidR="00C96D82" w:rsidRDefault="00C33FD3">
      <w:pPr>
        <w:spacing w:line="20" w:lineRule="exact"/>
        <w:rPr>
          <w:sz w:val="24"/>
          <w:szCs w:val="24"/>
        </w:rPr>
      </w:pPr>
      <w:r>
        <w:rPr>
          <w:noProof/>
          <w:sz w:val="24"/>
          <w:szCs w:val="24"/>
        </w:rPr>
        <w:drawing>
          <wp:anchor distT="0" distB="0" distL="114300" distR="114300" simplePos="0" relativeHeight="251645440" behindDoc="1" locked="0" layoutInCell="0" allowOverlap="1" wp14:anchorId="36BE6AD6" wp14:editId="07777777">
            <wp:simplePos x="0" y="0"/>
            <wp:positionH relativeFrom="column">
              <wp:posOffset>8890</wp:posOffset>
            </wp:positionH>
            <wp:positionV relativeFrom="paragraph">
              <wp:posOffset>-408305</wp:posOffset>
            </wp:positionV>
            <wp:extent cx="45720" cy="7747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712D4856" w14:textId="77777777" w:rsidR="00C96D82" w:rsidRDefault="00C33FD3">
      <w:pPr>
        <w:ind w:left="20"/>
        <w:rPr>
          <w:sz w:val="20"/>
          <w:szCs w:val="20"/>
        </w:rPr>
      </w:pPr>
      <w:r>
        <w:rPr>
          <w:rFonts w:ascii="Arial" w:eastAsia="Arial" w:hAnsi="Arial" w:cs="Arial"/>
          <w:sz w:val="15"/>
          <w:szCs w:val="15"/>
        </w:rPr>
        <w:t>Para obtener más información sobre el Fondo, la clase de acciones, los riesgos y los gastos, consulte el folleto del Fondo, disponible en las páginas de productos en www.blackrock.com</w:t>
      </w:r>
    </w:p>
    <w:p w14:paraId="4101652C" w14:textId="77777777" w:rsidR="00C96D82" w:rsidRDefault="00C96D82">
      <w:pPr>
        <w:spacing w:line="87" w:lineRule="exact"/>
        <w:rPr>
          <w:sz w:val="24"/>
          <w:szCs w:val="24"/>
        </w:rPr>
      </w:pPr>
    </w:p>
    <w:p w14:paraId="55AFC5FB" w14:textId="77777777" w:rsidR="00C96D82" w:rsidRDefault="00C33FD3">
      <w:pPr>
        <w:rPr>
          <w:sz w:val="20"/>
          <w:szCs w:val="20"/>
        </w:rPr>
      </w:pPr>
      <w:r>
        <w:rPr>
          <w:rFonts w:ascii="Arial" w:eastAsia="Arial" w:hAnsi="Arial" w:cs="Arial"/>
          <w:sz w:val="26"/>
          <w:szCs w:val="26"/>
        </w:rPr>
        <w:t>Perfil de riesgo y recompensa</w:t>
      </w:r>
    </w:p>
    <w:p w14:paraId="4B99056E" w14:textId="77777777" w:rsidR="00C96D82" w:rsidRDefault="00C96D82">
      <w:pPr>
        <w:sectPr w:rsidR="00C96D82">
          <w:pgSz w:w="11900" w:h="16838"/>
          <w:pgMar w:top="573" w:right="666" w:bottom="0" w:left="640" w:header="0" w:footer="0" w:gutter="0"/>
          <w:cols w:space="720" w:equalWidth="0">
            <w:col w:w="10600"/>
          </w:cols>
        </w:sectPr>
      </w:pPr>
    </w:p>
    <w:p w14:paraId="1299C43A" w14:textId="77777777" w:rsidR="00C96D82" w:rsidRDefault="00C96D82">
      <w:pPr>
        <w:spacing w:line="111" w:lineRule="exact"/>
        <w:rPr>
          <w:sz w:val="24"/>
          <w:szCs w:val="24"/>
        </w:rPr>
      </w:pPr>
    </w:p>
    <w:tbl>
      <w:tblPr>
        <w:tblW w:w="0" w:type="auto"/>
        <w:tblInd w:w="40" w:type="dxa"/>
        <w:tblLayout w:type="fixed"/>
        <w:tblCellMar>
          <w:left w:w="0" w:type="dxa"/>
          <w:right w:w="0" w:type="dxa"/>
        </w:tblCellMar>
        <w:tblLook w:val="04A0" w:firstRow="1" w:lastRow="0" w:firstColumn="1" w:lastColumn="0" w:noHBand="0" w:noVBand="1"/>
      </w:tblPr>
      <w:tblGrid>
        <w:gridCol w:w="2540"/>
        <w:gridCol w:w="2620"/>
      </w:tblGrid>
      <w:tr w:rsidR="00C96D82" w14:paraId="526BCFF6" w14:textId="77777777">
        <w:trPr>
          <w:trHeight w:val="228"/>
        </w:trPr>
        <w:tc>
          <w:tcPr>
            <w:tcW w:w="2540" w:type="dxa"/>
            <w:shd w:val="clear" w:color="auto" w:fill="000000"/>
            <w:vAlign w:val="bottom"/>
          </w:tcPr>
          <w:p w14:paraId="547D03EA" w14:textId="77777777" w:rsidR="00C96D82" w:rsidRDefault="00C33FD3">
            <w:pPr>
              <w:ind w:left="40"/>
              <w:rPr>
                <w:sz w:val="20"/>
                <w:szCs w:val="20"/>
              </w:rPr>
            </w:pPr>
            <w:r>
              <w:rPr>
                <w:rFonts w:ascii="Arial" w:eastAsia="Arial" w:hAnsi="Arial" w:cs="Arial"/>
                <w:color w:val="FFFFFF"/>
                <w:sz w:val="16"/>
                <w:szCs w:val="16"/>
              </w:rPr>
              <w:t>Menor riesgo</w:t>
            </w:r>
          </w:p>
        </w:tc>
        <w:tc>
          <w:tcPr>
            <w:tcW w:w="2620" w:type="dxa"/>
            <w:shd w:val="clear" w:color="auto" w:fill="000000"/>
            <w:vAlign w:val="bottom"/>
          </w:tcPr>
          <w:p w14:paraId="251E2ACE" w14:textId="77777777" w:rsidR="00C96D82" w:rsidRDefault="00C33FD3">
            <w:pPr>
              <w:jc w:val="right"/>
              <w:rPr>
                <w:sz w:val="20"/>
                <w:szCs w:val="20"/>
              </w:rPr>
            </w:pPr>
            <w:r>
              <w:rPr>
                <w:rFonts w:ascii="Arial" w:eastAsia="Arial" w:hAnsi="Arial" w:cs="Arial"/>
                <w:color w:val="FFFFFF"/>
                <w:sz w:val="16"/>
                <w:szCs w:val="16"/>
              </w:rPr>
              <w:t>Mayor</w:t>
            </w:r>
            <w:r>
              <w:rPr>
                <w:rFonts w:ascii="Arial" w:eastAsia="Arial" w:hAnsi="Arial" w:cs="Arial"/>
                <w:color w:val="FFFFFF"/>
                <w:sz w:val="16"/>
                <w:szCs w:val="16"/>
              </w:rPr>
              <w:t xml:space="preserve"> riesgo</w:t>
            </w:r>
          </w:p>
        </w:tc>
      </w:tr>
      <w:tr w:rsidR="00C96D82" w14:paraId="1639C50B" w14:textId="77777777">
        <w:trPr>
          <w:trHeight w:val="207"/>
        </w:trPr>
        <w:tc>
          <w:tcPr>
            <w:tcW w:w="2540" w:type="dxa"/>
            <w:shd w:val="clear" w:color="auto" w:fill="000000"/>
            <w:vAlign w:val="bottom"/>
          </w:tcPr>
          <w:p w14:paraId="7E8ED1B1" w14:textId="77777777" w:rsidR="00C96D82" w:rsidRDefault="00C33FD3">
            <w:pPr>
              <w:ind w:left="40"/>
              <w:rPr>
                <w:sz w:val="20"/>
                <w:szCs w:val="20"/>
              </w:rPr>
            </w:pPr>
            <w:r>
              <w:rPr>
                <w:rFonts w:ascii="Arial" w:eastAsia="Arial" w:hAnsi="Arial" w:cs="Arial"/>
                <w:color w:val="FFFFFF"/>
                <w:sz w:val="14"/>
                <w:szCs w:val="14"/>
              </w:rPr>
              <w:t>Típicamente, menos recompensas</w:t>
            </w:r>
          </w:p>
        </w:tc>
        <w:tc>
          <w:tcPr>
            <w:tcW w:w="2620" w:type="dxa"/>
            <w:shd w:val="clear" w:color="auto" w:fill="000000"/>
            <w:vAlign w:val="bottom"/>
          </w:tcPr>
          <w:p w14:paraId="7C99EDD6" w14:textId="77777777" w:rsidR="00C96D82" w:rsidRDefault="00C33FD3">
            <w:pPr>
              <w:jc w:val="right"/>
              <w:rPr>
                <w:sz w:val="20"/>
                <w:szCs w:val="20"/>
              </w:rPr>
            </w:pPr>
            <w:r>
              <w:rPr>
                <w:rFonts w:ascii="Arial" w:eastAsia="Arial" w:hAnsi="Arial" w:cs="Arial"/>
                <w:color w:val="FFFFFF"/>
                <w:sz w:val="14"/>
                <w:szCs w:val="14"/>
              </w:rPr>
              <w:t>Generalmente recompensas más altas</w:t>
            </w:r>
          </w:p>
        </w:tc>
      </w:tr>
    </w:tbl>
    <w:p w14:paraId="1C1F44FA" w14:textId="77777777" w:rsidR="00C96D82" w:rsidRDefault="00C33FD3">
      <w:pPr>
        <w:spacing w:line="20" w:lineRule="exact"/>
        <w:rPr>
          <w:sz w:val="24"/>
          <w:szCs w:val="24"/>
        </w:rPr>
      </w:pPr>
      <w:r>
        <w:rPr>
          <w:noProof/>
          <w:sz w:val="24"/>
          <w:szCs w:val="24"/>
        </w:rPr>
        <w:drawing>
          <wp:anchor distT="0" distB="0" distL="114300" distR="114300" simplePos="0" relativeHeight="251646464" behindDoc="1" locked="0" layoutInCell="0" allowOverlap="1" wp14:anchorId="226CD25B" wp14:editId="07777777">
            <wp:simplePos x="0" y="0"/>
            <wp:positionH relativeFrom="column">
              <wp:posOffset>25400</wp:posOffset>
            </wp:positionH>
            <wp:positionV relativeFrom="paragraph">
              <wp:posOffset>12700</wp:posOffset>
            </wp:positionV>
            <wp:extent cx="3258185" cy="334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3258185" cy="334645"/>
                    </a:xfrm>
                    <a:prstGeom prst="rect">
                      <a:avLst/>
                    </a:prstGeom>
                    <a:noFill/>
                  </pic:spPr>
                </pic:pic>
              </a:graphicData>
            </a:graphic>
          </wp:anchor>
        </w:drawing>
      </w:r>
      <w:r>
        <w:rPr>
          <w:noProof/>
          <w:sz w:val="24"/>
          <w:szCs w:val="24"/>
        </w:rPr>
        <w:drawing>
          <wp:anchor distT="0" distB="0" distL="114300" distR="114300" simplePos="0" relativeHeight="251647488" behindDoc="1" locked="0" layoutInCell="0" allowOverlap="1" wp14:anchorId="6D515C80" wp14:editId="07777777">
            <wp:simplePos x="0" y="0"/>
            <wp:positionH relativeFrom="column">
              <wp:posOffset>-9525</wp:posOffset>
            </wp:positionH>
            <wp:positionV relativeFrom="paragraph">
              <wp:posOffset>393065</wp:posOffset>
            </wp:positionV>
            <wp:extent cx="3329940" cy="95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3329940" cy="9525"/>
                    </a:xfrm>
                    <a:prstGeom prst="rect">
                      <a:avLst/>
                    </a:prstGeom>
                    <a:noFill/>
                  </pic:spPr>
                </pic:pic>
              </a:graphicData>
            </a:graphic>
          </wp:anchor>
        </w:drawing>
      </w:r>
      <w:r>
        <w:rPr>
          <w:noProof/>
          <w:sz w:val="24"/>
          <w:szCs w:val="24"/>
        </w:rPr>
        <w:drawing>
          <wp:anchor distT="0" distB="0" distL="114300" distR="114300" simplePos="0" relativeHeight="251648512" behindDoc="1" locked="0" layoutInCell="0" allowOverlap="1" wp14:anchorId="40D51F69" wp14:editId="07777777">
            <wp:simplePos x="0" y="0"/>
            <wp:positionH relativeFrom="column">
              <wp:posOffset>-9525</wp:posOffset>
            </wp:positionH>
            <wp:positionV relativeFrom="paragraph">
              <wp:posOffset>-323215</wp:posOffset>
            </wp:positionV>
            <wp:extent cx="6767830" cy="95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6767830" cy="9525"/>
                    </a:xfrm>
                    <a:prstGeom prst="rect">
                      <a:avLst/>
                    </a:prstGeom>
                    <a:noFill/>
                  </pic:spPr>
                </pic:pic>
              </a:graphicData>
            </a:graphic>
          </wp:anchor>
        </w:drawing>
      </w:r>
    </w:p>
    <w:p w14:paraId="4DDBEF00" w14:textId="77777777" w:rsidR="00C96D82" w:rsidRDefault="00C96D82">
      <w:pPr>
        <w:spacing w:line="200" w:lineRule="exact"/>
        <w:rPr>
          <w:sz w:val="24"/>
          <w:szCs w:val="24"/>
        </w:rPr>
      </w:pPr>
    </w:p>
    <w:p w14:paraId="3461D779" w14:textId="77777777" w:rsidR="00C96D82" w:rsidRDefault="00C96D82">
      <w:pPr>
        <w:spacing w:line="200" w:lineRule="exact"/>
        <w:rPr>
          <w:sz w:val="24"/>
          <w:szCs w:val="24"/>
        </w:rPr>
      </w:pPr>
    </w:p>
    <w:p w14:paraId="3CF2D8B6" w14:textId="77777777" w:rsidR="00C96D82" w:rsidRDefault="00C96D82">
      <w:pPr>
        <w:spacing w:line="301" w:lineRule="exact"/>
        <w:rPr>
          <w:sz w:val="24"/>
          <w:szCs w:val="24"/>
        </w:rPr>
      </w:pPr>
    </w:p>
    <w:p w14:paraId="1107C480" w14:textId="77777777" w:rsidR="00C96D82" w:rsidRDefault="00C33FD3">
      <w:pPr>
        <w:spacing w:line="302" w:lineRule="auto"/>
        <w:ind w:left="140" w:right="100"/>
        <w:rPr>
          <w:sz w:val="20"/>
          <w:szCs w:val="20"/>
        </w:rPr>
      </w:pPr>
      <w:r>
        <w:rPr>
          <w:rFonts w:ascii="Arial" w:eastAsia="Arial" w:hAnsi="Arial" w:cs="Arial"/>
          <w:sz w:val="16"/>
          <w:szCs w:val="16"/>
        </w:rPr>
        <w:t>Este indicador se basa en datos históricos y puede no ser una indicación fiable del perfil de riesgo futuro de esta clase de acciones.</w:t>
      </w:r>
    </w:p>
    <w:p w14:paraId="65D85275" w14:textId="77777777" w:rsidR="00C96D82" w:rsidRDefault="00C33FD3">
      <w:pPr>
        <w:spacing w:line="20" w:lineRule="exact"/>
        <w:rPr>
          <w:sz w:val="24"/>
          <w:szCs w:val="24"/>
        </w:rPr>
      </w:pPr>
      <w:r>
        <w:rPr>
          <w:noProof/>
          <w:sz w:val="24"/>
          <w:szCs w:val="24"/>
        </w:rPr>
        <w:drawing>
          <wp:anchor distT="0" distB="0" distL="114300" distR="114300" simplePos="0" relativeHeight="251649536" behindDoc="1" locked="0" layoutInCell="0" allowOverlap="1" wp14:anchorId="017F860A" wp14:editId="07777777">
            <wp:simplePos x="0" y="0"/>
            <wp:positionH relativeFrom="column">
              <wp:posOffset>-9525</wp:posOffset>
            </wp:positionH>
            <wp:positionV relativeFrom="paragraph">
              <wp:posOffset>-260985</wp:posOffset>
            </wp:positionV>
            <wp:extent cx="45720" cy="7747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429B0628" w14:textId="77777777" w:rsidR="00C96D82" w:rsidRDefault="00C33FD3">
      <w:pPr>
        <w:ind w:left="140"/>
        <w:rPr>
          <w:sz w:val="20"/>
          <w:szCs w:val="20"/>
        </w:rPr>
      </w:pPr>
      <w:r>
        <w:rPr>
          <w:rFonts w:ascii="Arial" w:eastAsia="Arial" w:hAnsi="Arial" w:cs="Arial"/>
          <w:sz w:val="16"/>
          <w:szCs w:val="16"/>
        </w:rPr>
        <w:t>La categoría de riesgo mostrada no está garantizada y puede cambiar con el tiempo.</w:t>
      </w:r>
    </w:p>
    <w:p w14:paraId="2EA68011" w14:textId="77777777" w:rsidR="00C96D82" w:rsidRDefault="00C33FD3">
      <w:pPr>
        <w:spacing w:line="20" w:lineRule="exact"/>
        <w:rPr>
          <w:sz w:val="24"/>
          <w:szCs w:val="24"/>
        </w:rPr>
      </w:pPr>
      <w:r>
        <w:rPr>
          <w:noProof/>
          <w:sz w:val="24"/>
          <w:szCs w:val="24"/>
        </w:rPr>
        <w:drawing>
          <wp:anchor distT="0" distB="0" distL="114300" distR="114300" simplePos="0" relativeHeight="251650560" behindDoc="1" locked="0" layoutInCell="0" allowOverlap="1" wp14:anchorId="181C22E2" wp14:editId="07777777">
            <wp:simplePos x="0" y="0"/>
            <wp:positionH relativeFrom="column">
              <wp:posOffset>-9525</wp:posOffset>
            </wp:positionH>
            <wp:positionV relativeFrom="paragraph">
              <wp:posOffset>-84455</wp:posOffset>
            </wp:positionV>
            <wp:extent cx="45720" cy="7747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0FB78278" w14:textId="77777777" w:rsidR="00C96D82" w:rsidRDefault="00C96D82">
      <w:pPr>
        <w:spacing w:line="28" w:lineRule="exact"/>
        <w:rPr>
          <w:sz w:val="24"/>
          <w:szCs w:val="24"/>
        </w:rPr>
      </w:pPr>
    </w:p>
    <w:p w14:paraId="53C627F9" w14:textId="77777777" w:rsidR="00C96D82" w:rsidRDefault="00C33FD3">
      <w:pPr>
        <w:ind w:left="140"/>
        <w:rPr>
          <w:sz w:val="20"/>
          <w:szCs w:val="20"/>
        </w:rPr>
      </w:pPr>
      <w:r>
        <w:rPr>
          <w:rFonts w:ascii="Arial" w:eastAsia="Arial" w:hAnsi="Arial" w:cs="Arial"/>
          <w:sz w:val="16"/>
          <w:szCs w:val="16"/>
        </w:rPr>
        <w:t>La categoría más baja no signific</w:t>
      </w:r>
      <w:r>
        <w:rPr>
          <w:rFonts w:ascii="Arial" w:eastAsia="Arial" w:hAnsi="Arial" w:cs="Arial"/>
          <w:sz w:val="16"/>
          <w:szCs w:val="16"/>
        </w:rPr>
        <w:t>a libre de riesgo.</w:t>
      </w:r>
    </w:p>
    <w:p w14:paraId="6FC5E4D1" w14:textId="77777777" w:rsidR="00C96D82" w:rsidRDefault="00C33FD3">
      <w:pPr>
        <w:spacing w:line="20" w:lineRule="exact"/>
        <w:rPr>
          <w:sz w:val="24"/>
          <w:szCs w:val="24"/>
        </w:rPr>
      </w:pPr>
      <w:r>
        <w:rPr>
          <w:noProof/>
          <w:sz w:val="24"/>
          <w:szCs w:val="24"/>
        </w:rPr>
        <w:drawing>
          <wp:anchor distT="0" distB="0" distL="114300" distR="114300" simplePos="0" relativeHeight="251651584" behindDoc="1" locked="0" layoutInCell="0" allowOverlap="1" wp14:anchorId="7CDBE86B" wp14:editId="07777777">
            <wp:simplePos x="0" y="0"/>
            <wp:positionH relativeFrom="column">
              <wp:posOffset>-9525</wp:posOffset>
            </wp:positionH>
            <wp:positionV relativeFrom="paragraph">
              <wp:posOffset>-83820</wp:posOffset>
            </wp:positionV>
            <wp:extent cx="45720" cy="7747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1FC39945" w14:textId="77777777" w:rsidR="00C96D82" w:rsidRDefault="00C96D82">
      <w:pPr>
        <w:spacing w:line="28" w:lineRule="exact"/>
        <w:rPr>
          <w:sz w:val="24"/>
          <w:szCs w:val="24"/>
        </w:rPr>
      </w:pPr>
    </w:p>
    <w:p w14:paraId="00323805" w14:textId="77777777" w:rsidR="00C96D82" w:rsidRDefault="00C33FD3">
      <w:pPr>
        <w:spacing w:line="315" w:lineRule="auto"/>
        <w:ind w:left="140"/>
        <w:rPr>
          <w:sz w:val="20"/>
          <w:szCs w:val="20"/>
        </w:rPr>
      </w:pPr>
      <w:r>
        <w:rPr>
          <w:rFonts w:ascii="Arial" w:eastAsia="Arial" w:hAnsi="Arial" w:cs="Arial"/>
          <w:sz w:val="16"/>
          <w:szCs w:val="16"/>
        </w:rPr>
        <w:t xml:space="preserve">La clase de acciones tiene una calificación de tres debido a la naturaleza de sus inversiones, que incluyen los riesgos que se enumeran a continuación. Estos factores pueden afectar al valor de la clase de acción o exponer a la clase </w:t>
      </w:r>
      <w:r>
        <w:rPr>
          <w:rFonts w:ascii="Arial" w:eastAsia="Arial" w:hAnsi="Arial" w:cs="Arial"/>
          <w:sz w:val="16"/>
          <w:szCs w:val="16"/>
        </w:rPr>
        <w:t>de acción a pérdidas.</w:t>
      </w:r>
    </w:p>
    <w:p w14:paraId="4F7699F1" w14:textId="77777777" w:rsidR="00C96D82" w:rsidRDefault="00C33FD3">
      <w:pPr>
        <w:spacing w:line="20" w:lineRule="exact"/>
        <w:rPr>
          <w:sz w:val="24"/>
          <w:szCs w:val="24"/>
        </w:rPr>
      </w:pPr>
      <w:r>
        <w:rPr>
          <w:noProof/>
          <w:sz w:val="24"/>
          <w:szCs w:val="24"/>
        </w:rPr>
        <w:drawing>
          <wp:anchor distT="0" distB="0" distL="114300" distR="114300" simplePos="0" relativeHeight="251652608" behindDoc="1" locked="0" layoutInCell="0" allowOverlap="1" wp14:anchorId="0DDBE128" wp14:editId="07777777">
            <wp:simplePos x="0" y="0"/>
            <wp:positionH relativeFrom="column">
              <wp:posOffset>-9525</wp:posOffset>
            </wp:positionH>
            <wp:positionV relativeFrom="paragraph">
              <wp:posOffset>-427355</wp:posOffset>
            </wp:positionV>
            <wp:extent cx="45720" cy="7747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0562CB0E" w14:textId="77777777" w:rsidR="00C96D82" w:rsidRDefault="00C33FD3">
      <w:pPr>
        <w:spacing w:line="20" w:lineRule="exact"/>
        <w:rPr>
          <w:sz w:val="24"/>
          <w:szCs w:val="24"/>
        </w:rPr>
      </w:pPr>
      <w:r>
        <w:rPr>
          <w:sz w:val="24"/>
          <w:szCs w:val="24"/>
        </w:rPr>
        <w:br w:type="column"/>
      </w:r>
    </w:p>
    <w:p w14:paraId="34CE0A41" w14:textId="77777777" w:rsidR="00C96D82" w:rsidRDefault="00C96D82">
      <w:pPr>
        <w:spacing w:line="106" w:lineRule="exact"/>
        <w:rPr>
          <w:sz w:val="24"/>
          <w:szCs w:val="24"/>
        </w:rPr>
      </w:pPr>
    </w:p>
    <w:p w14:paraId="5F2A907E" w14:textId="77777777" w:rsidR="00C96D82" w:rsidRDefault="00C33FD3">
      <w:pPr>
        <w:numPr>
          <w:ilvl w:val="0"/>
          <w:numId w:val="1"/>
        </w:numPr>
        <w:tabs>
          <w:tab w:val="left" w:pos="160"/>
        </w:tabs>
        <w:spacing w:line="228" w:lineRule="auto"/>
        <w:ind w:left="160" w:right="60" w:hanging="159"/>
        <w:rPr>
          <w:rFonts w:ascii="Arial" w:eastAsia="Arial" w:hAnsi="Arial" w:cs="Arial"/>
          <w:sz w:val="33"/>
          <w:szCs w:val="33"/>
          <w:vertAlign w:val="subscript"/>
        </w:rPr>
      </w:pPr>
      <w:r>
        <w:rPr>
          <w:rFonts w:ascii="Arial" w:eastAsia="Arial" w:hAnsi="Arial" w:cs="Arial"/>
          <w:sz w:val="14"/>
          <w:szCs w:val="14"/>
        </w:rPr>
        <w:t>El riesgo de crédito, los cambios en los tipos de interés o los impagos del emisor tendrán un impacto significativo en el rendimiento de los valores de renta fija. Las rebajas potenciales o reales de la calificación crediticia pueden aumentar el nivel de r</w:t>
      </w:r>
      <w:r>
        <w:rPr>
          <w:rFonts w:ascii="Arial" w:eastAsia="Arial" w:hAnsi="Arial" w:cs="Arial"/>
          <w:sz w:val="14"/>
          <w:szCs w:val="14"/>
        </w:rPr>
        <w:t>iesgo.</w:t>
      </w:r>
    </w:p>
    <w:p w14:paraId="62EBF3C5" w14:textId="77777777" w:rsidR="00C96D82" w:rsidRDefault="00C96D82">
      <w:pPr>
        <w:spacing w:line="1" w:lineRule="exact"/>
        <w:rPr>
          <w:rFonts w:ascii="Arial" w:eastAsia="Arial" w:hAnsi="Arial" w:cs="Arial"/>
          <w:sz w:val="33"/>
          <w:szCs w:val="33"/>
          <w:vertAlign w:val="subscript"/>
        </w:rPr>
      </w:pPr>
    </w:p>
    <w:p w14:paraId="63E1778C" w14:textId="77777777" w:rsidR="00C96D82" w:rsidRDefault="00C33FD3">
      <w:pPr>
        <w:numPr>
          <w:ilvl w:val="0"/>
          <w:numId w:val="1"/>
        </w:numPr>
        <w:tabs>
          <w:tab w:val="left" w:pos="160"/>
        </w:tabs>
        <w:spacing w:line="186" w:lineRule="auto"/>
        <w:ind w:left="160" w:hanging="159"/>
        <w:rPr>
          <w:rFonts w:ascii="Arial" w:eastAsia="Arial" w:hAnsi="Arial" w:cs="Arial"/>
          <w:sz w:val="26"/>
          <w:szCs w:val="26"/>
          <w:vertAlign w:val="subscript"/>
        </w:rPr>
      </w:pPr>
      <w:r>
        <w:rPr>
          <w:rFonts w:ascii="Arial" w:eastAsia="Arial" w:hAnsi="Arial" w:cs="Arial"/>
          <w:sz w:val="13"/>
          <w:szCs w:val="13"/>
        </w:rPr>
        <w:t>Los bonos de titulización de activos y los bonos de titulización hipotecaria están sujetos al</w:t>
      </w:r>
    </w:p>
    <w:p w14:paraId="6D98A12B" w14:textId="77777777" w:rsidR="00C96D82" w:rsidRDefault="00C96D82">
      <w:pPr>
        <w:spacing w:line="55" w:lineRule="exact"/>
        <w:rPr>
          <w:sz w:val="24"/>
          <w:szCs w:val="24"/>
        </w:rPr>
      </w:pPr>
    </w:p>
    <w:p w14:paraId="349C9EC1" w14:textId="77777777" w:rsidR="00C96D82" w:rsidRDefault="00C33FD3">
      <w:pPr>
        <w:spacing w:line="290" w:lineRule="auto"/>
        <w:ind w:left="160" w:right="140"/>
        <w:rPr>
          <w:sz w:val="20"/>
          <w:szCs w:val="20"/>
        </w:rPr>
      </w:pPr>
      <w:r>
        <w:rPr>
          <w:rFonts w:ascii="Arial" w:eastAsia="Arial" w:hAnsi="Arial" w:cs="Arial"/>
          <w:sz w:val="16"/>
          <w:szCs w:val="16"/>
        </w:rPr>
        <w:t>los mismos riesgos descritos para los valores de renta fija.</w:t>
      </w:r>
      <w:r>
        <w:rPr>
          <w:rFonts w:ascii="Arial" w:eastAsia="Arial" w:hAnsi="Arial" w:cs="Arial"/>
          <w:sz w:val="16"/>
          <w:szCs w:val="16"/>
        </w:rPr>
        <w:t xml:space="preserve"> Estos instrumentos pueden estar sujetos a un “riesgo de liquidez”, tener elevados niveles de endeudamiento y no reflejar plenamente el valor de los activos subyacentes.</w:t>
      </w:r>
    </w:p>
    <w:p w14:paraId="2946DB82" w14:textId="77777777" w:rsidR="00C96D82" w:rsidRDefault="00C96D82">
      <w:pPr>
        <w:spacing w:line="2" w:lineRule="exact"/>
        <w:rPr>
          <w:sz w:val="24"/>
          <w:szCs w:val="24"/>
        </w:rPr>
      </w:pPr>
    </w:p>
    <w:p w14:paraId="6713E61A" w14:textId="77777777" w:rsidR="00C96D82" w:rsidRDefault="00C33FD3">
      <w:pPr>
        <w:rPr>
          <w:sz w:val="20"/>
          <w:szCs w:val="20"/>
        </w:rPr>
      </w:pPr>
      <w:r>
        <w:rPr>
          <w:rFonts w:ascii="Arial" w:eastAsia="Arial" w:hAnsi="Arial" w:cs="Arial"/>
          <w:sz w:val="16"/>
          <w:szCs w:val="16"/>
        </w:rPr>
        <w:t>Entre los riesgos particulares que no se reflejan adecuadamente en el indicador de ri</w:t>
      </w:r>
      <w:r>
        <w:rPr>
          <w:rFonts w:ascii="Arial" w:eastAsia="Arial" w:hAnsi="Arial" w:cs="Arial"/>
          <w:sz w:val="16"/>
          <w:szCs w:val="16"/>
        </w:rPr>
        <w:t>esgo se incluyen:</w:t>
      </w:r>
    </w:p>
    <w:p w14:paraId="51EFD770" w14:textId="77777777" w:rsidR="00C96D82" w:rsidRDefault="00C33FD3">
      <w:pPr>
        <w:spacing w:line="20" w:lineRule="exact"/>
        <w:rPr>
          <w:sz w:val="24"/>
          <w:szCs w:val="24"/>
        </w:rPr>
      </w:pPr>
      <w:r>
        <w:rPr>
          <w:noProof/>
          <w:sz w:val="24"/>
          <w:szCs w:val="24"/>
        </w:rPr>
        <w:drawing>
          <wp:anchor distT="0" distB="0" distL="114300" distR="114300" simplePos="0" relativeHeight="251653632" behindDoc="1" locked="0" layoutInCell="0" allowOverlap="1" wp14:anchorId="0BB8D993" wp14:editId="07777777">
            <wp:simplePos x="0" y="0"/>
            <wp:positionH relativeFrom="column">
              <wp:posOffset>-102235</wp:posOffset>
            </wp:positionH>
            <wp:positionV relativeFrom="paragraph">
              <wp:posOffset>-84455</wp:posOffset>
            </wp:positionV>
            <wp:extent cx="45720" cy="7747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5997CC1D" w14:textId="77777777" w:rsidR="00C96D82" w:rsidRDefault="00C96D82">
      <w:pPr>
        <w:spacing w:line="28" w:lineRule="exact"/>
        <w:rPr>
          <w:sz w:val="24"/>
          <w:szCs w:val="24"/>
        </w:rPr>
      </w:pPr>
    </w:p>
    <w:p w14:paraId="0A459DB9" w14:textId="77777777" w:rsidR="00C96D82" w:rsidRDefault="00C33FD3">
      <w:pPr>
        <w:numPr>
          <w:ilvl w:val="0"/>
          <w:numId w:val="2"/>
        </w:numPr>
        <w:tabs>
          <w:tab w:val="left" w:pos="160"/>
        </w:tabs>
        <w:spacing w:line="208" w:lineRule="auto"/>
        <w:ind w:left="160" w:right="120" w:hanging="159"/>
        <w:rPr>
          <w:rFonts w:ascii="Arial" w:eastAsia="Arial" w:hAnsi="Arial" w:cs="Arial"/>
          <w:sz w:val="37"/>
          <w:szCs w:val="37"/>
          <w:vertAlign w:val="subscript"/>
        </w:rPr>
      </w:pPr>
      <w:r>
        <w:rPr>
          <w:rFonts w:ascii="Arial" w:eastAsia="Arial" w:hAnsi="Arial" w:cs="Arial"/>
          <w:sz w:val="15"/>
          <w:szCs w:val="15"/>
        </w:rPr>
        <w:t>Riesgo de Contraparte: La insolvencia de cualquier entidad que preste servicios tales como la custodia de activos o que actúe como contraparte en derivados u otros instrumentos, puede exponer a la clase de acciones a pérdidas financier</w:t>
      </w:r>
      <w:r>
        <w:rPr>
          <w:rFonts w:ascii="Arial" w:eastAsia="Arial" w:hAnsi="Arial" w:cs="Arial"/>
          <w:sz w:val="15"/>
          <w:szCs w:val="15"/>
        </w:rPr>
        <w:t>as.</w:t>
      </w:r>
    </w:p>
    <w:p w14:paraId="110FFD37" w14:textId="77777777" w:rsidR="00C96D82" w:rsidRDefault="00C96D82">
      <w:pPr>
        <w:spacing w:line="28" w:lineRule="exact"/>
        <w:rPr>
          <w:rFonts w:ascii="Arial" w:eastAsia="Arial" w:hAnsi="Arial" w:cs="Arial"/>
          <w:sz w:val="37"/>
          <w:szCs w:val="37"/>
          <w:vertAlign w:val="subscript"/>
        </w:rPr>
      </w:pPr>
    </w:p>
    <w:p w14:paraId="1388712D" w14:textId="77777777" w:rsidR="00C96D82" w:rsidRDefault="00C33FD3">
      <w:pPr>
        <w:numPr>
          <w:ilvl w:val="0"/>
          <w:numId w:val="2"/>
        </w:numPr>
        <w:tabs>
          <w:tab w:val="left" w:pos="160"/>
        </w:tabs>
        <w:spacing w:line="181" w:lineRule="auto"/>
        <w:ind w:left="160" w:right="160" w:hanging="159"/>
        <w:rPr>
          <w:rFonts w:ascii="Arial" w:eastAsia="Arial" w:hAnsi="Arial" w:cs="Arial"/>
          <w:sz w:val="35"/>
          <w:szCs w:val="35"/>
          <w:vertAlign w:val="subscript"/>
        </w:rPr>
      </w:pPr>
      <w:r>
        <w:rPr>
          <w:rFonts w:ascii="Arial" w:eastAsia="Arial" w:hAnsi="Arial" w:cs="Arial"/>
          <w:sz w:val="15"/>
          <w:szCs w:val="15"/>
        </w:rPr>
        <w:t>Riesgo crediticio: El emisor de un activo financiero mantenido dentro del Fondo no puede pagar ingresos o reembolsar capital al Fondo cuando corresponda.</w:t>
      </w:r>
    </w:p>
    <w:p w14:paraId="6B699379" w14:textId="77777777" w:rsidR="00C96D82" w:rsidRDefault="00C96D82">
      <w:pPr>
        <w:spacing w:line="30" w:lineRule="exact"/>
        <w:rPr>
          <w:rFonts w:ascii="Arial" w:eastAsia="Arial" w:hAnsi="Arial" w:cs="Arial"/>
          <w:sz w:val="35"/>
          <w:szCs w:val="35"/>
          <w:vertAlign w:val="subscript"/>
        </w:rPr>
      </w:pPr>
    </w:p>
    <w:p w14:paraId="24CBE557" w14:textId="77777777" w:rsidR="00C96D82" w:rsidRDefault="00C33FD3">
      <w:pPr>
        <w:numPr>
          <w:ilvl w:val="0"/>
          <w:numId w:val="2"/>
        </w:numPr>
        <w:tabs>
          <w:tab w:val="left" w:pos="160"/>
        </w:tabs>
        <w:spacing w:line="181" w:lineRule="auto"/>
        <w:ind w:left="160" w:right="60" w:hanging="159"/>
        <w:rPr>
          <w:rFonts w:ascii="Arial" w:eastAsia="Arial" w:hAnsi="Arial" w:cs="Arial"/>
          <w:sz w:val="35"/>
          <w:szCs w:val="35"/>
          <w:vertAlign w:val="subscript"/>
        </w:rPr>
      </w:pPr>
      <w:r>
        <w:rPr>
          <w:rFonts w:ascii="Arial" w:eastAsia="Arial" w:hAnsi="Arial" w:cs="Arial"/>
          <w:sz w:val="15"/>
          <w:szCs w:val="15"/>
        </w:rPr>
        <w:t>Riesgo de liquidez: Una menor liquidez significa que no hay compradores o vendedores suficientes</w:t>
      </w:r>
      <w:r>
        <w:rPr>
          <w:rFonts w:ascii="Arial" w:eastAsia="Arial" w:hAnsi="Arial" w:cs="Arial"/>
          <w:sz w:val="15"/>
          <w:szCs w:val="15"/>
        </w:rPr>
        <w:t xml:space="preserve"> para permitir que la Caja venda o compre inversiones fácilmente.</w:t>
      </w:r>
    </w:p>
    <w:p w14:paraId="3FE9F23F" w14:textId="77777777" w:rsidR="00C96D82" w:rsidRDefault="00C96D82">
      <w:pPr>
        <w:spacing w:line="200" w:lineRule="exact"/>
        <w:rPr>
          <w:sz w:val="24"/>
          <w:szCs w:val="24"/>
        </w:rPr>
      </w:pPr>
    </w:p>
    <w:p w14:paraId="1F72F646" w14:textId="77777777" w:rsidR="00C96D82" w:rsidRDefault="00C96D82">
      <w:pPr>
        <w:sectPr w:rsidR="00C96D82">
          <w:type w:val="continuous"/>
          <w:pgSz w:w="11900" w:h="16838"/>
          <w:pgMar w:top="573" w:right="666" w:bottom="0" w:left="640" w:header="0" w:footer="0" w:gutter="0"/>
          <w:cols w:num="2" w:space="720" w:equalWidth="0">
            <w:col w:w="5200" w:space="360"/>
            <w:col w:w="5040"/>
          </w:cols>
        </w:sectPr>
      </w:pPr>
    </w:p>
    <w:p w14:paraId="08CE6F91" w14:textId="77777777" w:rsidR="00C96D82" w:rsidRDefault="00C96D82">
      <w:pPr>
        <w:spacing w:line="200" w:lineRule="exact"/>
        <w:rPr>
          <w:sz w:val="24"/>
          <w:szCs w:val="24"/>
        </w:rPr>
      </w:pPr>
    </w:p>
    <w:p w14:paraId="61CDCEAD" w14:textId="77777777" w:rsidR="00C96D82" w:rsidRDefault="00C96D82">
      <w:pPr>
        <w:spacing w:line="200" w:lineRule="exact"/>
        <w:rPr>
          <w:sz w:val="24"/>
          <w:szCs w:val="24"/>
        </w:rPr>
      </w:pPr>
    </w:p>
    <w:p w14:paraId="6BB9E253" w14:textId="77777777" w:rsidR="00C96D82" w:rsidRDefault="00C96D82">
      <w:pPr>
        <w:spacing w:line="200" w:lineRule="exact"/>
        <w:rPr>
          <w:sz w:val="24"/>
          <w:szCs w:val="24"/>
        </w:rPr>
      </w:pPr>
    </w:p>
    <w:p w14:paraId="23DE523C" w14:textId="77777777" w:rsidR="00C96D82" w:rsidRDefault="00C96D82">
      <w:pPr>
        <w:spacing w:line="200" w:lineRule="exact"/>
        <w:rPr>
          <w:sz w:val="24"/>
          <w:szCs w:val="24"/>
        </w:rPr>
      </w:pPr>
    </w:p>
    <w:p w14:paraId="52E56223" w14:textId="77777777" w:rsidR="00C96D82" w:rsidRDefault="00C96D82">
      <w:pPr>
        <w:spacing w:line="200" w:lineRule="exact"/>
        <w:rPr>
          <w:sz w:val="24"/>
          <w:szCs w:val="24"/>
        </w:rPr>
      </w:pPr>
    </w:p>
    <w:p w14:paraId="07547A01" w14:textId="77777777" w:rsidR="00C96D82" w:rsidRDefault="00C96D82">
      <w:pPr>
        <w:spacing w:line="200" w:lineRule="exact"/>
        <w:rPr>
          <w:sz w:val="24"/>
          <w:szCs w:val="24"/>
        </w:rPr>
      </w:pPr>
    </w:p>
    <w:p w14:paraId="5043CB0F" w14:textId="77777777" w:rsidR="00C96D82" w:rsidRDefault="00C96D82">
      <w:pPr>
        <w:spacing w:line="200" w:lineRule="exact"/>
        <w:rPr>
          <w:sz w:val="24"/>
          <w:szCs w:val="24"/>
        </w:rPr>
      </w:pPr>
    </w:p>
    <w:p w14:paraId="07459315" w14:textId="77777777" w:rsidR="00C96D82" w:rsidRDefault="00C96D82">
      <w:pPr>
        <w:spacing w:line="200" w:lineRule="exact"/>
        <w:rPr>
          <w:sz w:val="24"/>
          <w:szCs w:val="24"/>
        </w:rPr>
      </w:pPr>
    </w:p>
    <w:p w14:paraId="6537F28F" w14:textId="77777777" w:rsidR="00C96D82" w:rsidRDefault="00C96D82">
      <w:pPr>
        <w:spacing w:line="200" w:lineRule="exact"/>
        <w:rPr>
          <w:sz w:val="24"/>
          <w:szCs w:val="24"/>
        </w:rPr>
      </w:pPr>
    </w:p>
    <w:p w14:paraId="6DFB9E20" w14:textId="77777777" w:rsidR="00C96D82" w:rsidRDefault="00C96D82">
      <w:pPr>
        <w:spacing w:line="200" w:lineRule="exact"/>
        <w:rPr>
          <w:sz w:val="24"/>
          <w:szCs w:val="24"/>
        </w:rPr>
      </w:pPr>
    </w:p>
    <w:p w14:paraId="70DF9E56" w14:textId="77777777" w:rsidR="00C96D82" w:rsidRDefault="00C96D82">
      <w:pPr>
        <w:spacing w:line="200" w:lineRule="exact"/>
        <w:rPr>
          <w:sz w:val="24"/>
          <w:szCs w:val="24"/>
        </w:rPr>
      </w:pPr>
    </w:p>
    <w:p w14:paraId="44E871BC" w14:textId="77777777" w:rsidR="00C96D82" w:rsidRDefault="00C96D82">
      <w:pPr>
        <w:spacing w:line="200" w:lineRule="exact"/>
        <w:rPr>
          <w:sz w:val="24"/>
          <w:szCs w:val="24"/>
        </w:rPr>
      </w:pPr>
    </w:p>
    <w:p w14:paraId="144A5D23" w14:textId="77777777" w:rsidR="00C96D82" w:rsidRDefault="00C96D82">
      <w:pPr>
        <w:spacing w:line="200" w:lineRule="exact"/>
        <w:rPr>
          <w:sz w:val="24"/>
          <w:szCs w:val="24"/>
        </w:rPr>
      </w:pPr>
    </w:p>
    <w:p w14:paraId="738610EB" w14:textId="77777777" w:rsidR="00C96D82" w:rsidRDefault="00C96D82">
      <w:pPr>
        <w:spacing w:line="200" w:lineRule="exact"/>
        <w:rPr>
          <w:sz w:val="24"/>
          <w:szCs w:val="24"/>
        </w:rPr>
      </w:pPr>
    </w:p>
    <w:p w14:paraId="637805D2" w14:textId="77777777" w:rsidR="00C96D82" w:rsidRDefault="00C96D82">
      <w:pPr>
        <w:spacing w:line="200" w:lineRule="exact"/>
        <w:rPr>
          <w:sz w:val="24"/>
          <w:szCs w:val="24"/>
        </w:rPr>
      </w:pPr>
    </w:p>
    <w:p w14:paraId="463F29E8" w14:textId="77777777" w:rsidR="00C96D82" w:rsidRDefault="00C96D82">
      <w:pPr>
        <w:spacing w:line="200" w:lineRule="exact"/>
        <w:rPr>
          <w:sz w:val="24"/>
          <w:szCs w:val="24"/>
        </w:rPr>
      </w:pPr>
    </w:p>
    <w:p w14:paraId="3B7B4B86" w14:textId="77777777" w:rsidR="00C96D82" w:rsidRDefault="00C96D82">
      <w:pPr>
        <w:spacing w:line="200" w:lineRule="exact"/>
        <w:rPr>
          <w:sz w:val="24"/>
          <w:szCs w:val="24"/>
        </w:rPr>
      </w:pPr>
    </w:p>
    <w:p w14:paraId="3A0FF5F2" w14:textId="77777777" w:rsidR="00C96D82" w:rsidRDefault="00C96D82">
      <w:pPr>
        <w:spacing w:line="200" w:lineRule="exact"/>
        <w:rPr>
          <w:sz w:val="24"/>
          <w:szCs w:val="24"/>
        </w:rPr>
      </w:pPr>
    </w:p>
    <w:p w14:paraId="5630AD66" w14:textId="77777777" w:rsidR="00C96D82" w:rsidRDefault="00C96D82">
      <w:pPr>
        <w:spacing w:line="200" w:lineRule="exact"/>
        <w:rPr>
          <w:sz w:val="24"/>
          <w:szCs w:val="24"/>
        </w:rPr>
      </w:pPr>
    </w:p>
    <w:p w14:paraId="61829076" w14:textId="77777777" w:rsidR="00C96D82" w:rsidRDefault="00C96D82">
      <w:pPr>
        <w:spacing w:line="200" w:lineRule="exact"/>
        <w:rPr>
          <w:sz w:val="24"/>
          <w:szCs w:val="24"/>
        </w:rPr>
      </w:pPr>
    </w:p>
    <w:p w14:paraId="2BA226A1" w14:textId="77777777" w:rsidR="00C96D82" w:rsidRDefault="00C96D82">
      <w:pPr>
        <w:spacing w:line="356" w:lineRule="exact"/>
        <w:rPr>
          <w:sz w:val="24"/>
          <w:szCs w:val="24"/>
        </w:rPr>
      </w:pPr>
    </w:p>
    <w:p w14:paraId="352B3177" w14:textId="77777777" w:rsidR="00C96D82" w:rsidRDefault="00C33FD3">
      <w:pPr>
        <w:ind w:left="20"/>
        <w:rPr>
          <w:sz w:val="20"/>
          <w:szCs w:val="20"/>
        </w:rPr>
      </w:pPr>
      <w:r>
        <w:rPr>
          <w:rFonts w:ascii="Arial" w:eastAsia="Arial" w:hAnsi="Arial" w:cs="Arial"/>
          <w:sz w:val="12"/>
          <w:szCs w:val="12"/>
        </w:rPr>
        <w:t>El índice de referencia es propiedad intelectual del proveedor del índice. La clase Share no está patrocinada ni respaldada por el proveedor de índices. Sírvase consultar el folleto de la Caja para obtener una exención de responsabilidad completa.</w:t>
      </w:r>
    </w:p>
    <w:p w14:paraId="17AD93B2" w14:textId="77777777" w:rsidR="00C96D82" w:rsidRDefault="00C96D82">
      <w:pPr>
        <w:sectPr w:rsidR="00C96D82">
          <w:type w:val="continuous"/>
          <w:pgSz w:w="11900" w:h="16838"/>
          <w:pgMar w:top="573" w:right="666" w:bottom="0" w:left="640" w:header="0" w:footer="0" w:gutter="0"/>
          <w:cols w:space="720" w:equalWidth="0">
            <w:col w:w="10600"/>
          </w:cols>
        </w:sectPr>
      </w:pPr>
    </w:p>
    <w:p w14:paraId="07F2E33D" w14:textId="77777777" w:rsidR="00C96D82" w:rsidRDefault="00C33FD3">
      <w:pPr>
        <w:ind w:left="20"/>
        <w:rPr>
          <w:sz w:val="20"/>
          <w:szCs w:val="20"/>
        </w:rPr>
      </w:pPr>
      <w:bookmarkStart w:id="1" w:name="page2"/>
      <w:bookmarkEnd w:id="1"/>
      <w:r>
        <w:rPr>
          <w:rFonts w:ascii="Arial" w:eastAsia="Arial" w:hAnsi="Arial" w:cs="Arial"/>
        </w:rPr>
        <w:t>Cargos</w:t>
      </w:r>
    </w:p>
    <w:p w14:paraId="32089FE8" w14:textId="77777777" w:rsidR="00C96D82" w:rsidRDefault="00C33FD3">
      <w:pPr>
        <w:spacing w:line="20" w:lineRule="exact"/>
        <w:rPr>
          <w:sz w:val="20"/>
          <w:szCs w:val="20"/>
        </w:rPr>
      </w:pPr>
      <w:r>
        <w:rPr>
          <w:noProof/>
          <w:sz w:val="20"/>
          <w:szCs w:val="20"/>
        </w:rPr>
        <w:drawing>
          <wp:anchor distT="0" distB="0" distL="114300" distR="114300" simplePos="0" relativeHeight="251654656" behindDoc="1" locked="0" layoutInCell="0" allowOverlap="1" wp14:anchorId="3D182731" wp14:editId="07777777">
            <wp:simplePos x="0" y="0"/>
            <wp:positionH relativeFrom="column">
              <wp:posOffset>2540</wp:posOffset>
            </wp:positionH>
            <wp:positionV relativeFrom="paragraph">
              <wp:posOffset>52070</wp:posOffset>
            </wp:positionV>
            <wp:extent cx="6767830" cy="95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srcRect/>
                    <a:stretch>
                      <a:fillRect/>
                    </a:stretch>
                  </pic:blipFill>
                  <pic:spPr bwMode="auto">
                    <a:xfrm>
                      <a:off x="0" y="0"/>
                      <a:ext cx="6767830" cy="9525"/>
                    </a:xfrm>
                    <a:prstGeom prst="rect">
                      <a:avLst/>
                    </a:prstGeom>
                    <a:noFill/>
                  </pic:spPr>
                </pic:pic>
              </a:graphicData>
            </a:graphic>
          </wp:anchor>
        </w:drawing>
      </w:r>
    </w:p>
    <w:p w14:paraId="0DE4B5B7" w14:textId="77777777" w:rsidR="00C96D82" w:rsidRDefault="00C96D82">
      <w:pPr>
        <w:sectPr w:rsidR="00C96D82">
          <w:pgSz w:w="11900" w:h="16838"/>
          <w:pgMar w:top="609" w:right="626" w:bottom="0" w:left="620" w:header="0" w:footer="0" w:gutter="0"/>
          <w:cols w:space="720" w:equalWidth="0">
            <w:col w:w="10660"/>
          </w:cols>
        </w:sectPr>
      </w:pPr>
    </w:p>
    <w:p w14:paraId="66204FF1" w14:textId="77777777" w:rsidR="00C96D82" w:rsidRDefault="00C96D82">
      <w:pPr>
        <w:spacing w:line="168" w:lineRule="exact"/>
        <w:rPr>
          <w:sz w:val="20"/>
          <w:szCs w:val="20"/>
        </w:rPr>
      </w:pPr>
    </w:p>
    <w:p w14:paraId="43101612" w14:textId="77777777" w:rsidR="00C96D82" w:rsidRDefault="00C33FD3">
      <w:pPr>
        <w:spacing w:line="314" w:lineRule="auto"/>
        <w:ind w:left="60" w:right="60"/>
        <w:rPr>
          <w:sz w:val="20"/>
          <w:szCs w:val="20"/>
        </w:rPr>
      </w:pPr>
      <w:r>
        <w:rPr>
          <w:rFonts w:ascii="Arial" w:eastAsia="Arial" w:hAnsi="Arial" w:cs="Arial"/>
          <w:sz w:val="16"/>
          <w:szCs w:val="16"/>
        </w:rPr>
        <w:t>Los cargos se utilizan para pagar los costes de funcionamiento de la Clase de acciones, incluidos los costes de comercialización y distribución. Estos cargos reducen el crecimiento potencial de su inversión.</w:t>
      </w:r>
    </w:p>
    <w:p w14:paraId="2DBF0D7D" w14:textId="77777777" w:rsidR="00C96D82" w:rsidRDefault="00C96D82">
      <w:pPr>
        <w:spacing w:line="2" w:lineRule="exact"/>
        <w:rPr>
          <w:sz w:val="20"/>
          <w:szCs w:val="20"/>
        </w:rPr>
      </w:pPr>
    </w:p>
    <w:p w14:paraId="53664FF9" w14:textId="77777777" w:rsidR="00C96D82" w:rsidRDefault="00C33FD3">
      <w:pPr>
        <w:spacing w:line="311" w:lineRule="auto"/>
        <w:ind w:left="60" w:right="240"/>
        <w:rPr>
          <w:sz w:val="20"/>
          <w:szCs w:val="20"/>
        </w:rPr>
      </w:pPr>
      <w:r>
        <w:rPr>
          <w:rFonts w:ascii="Arial" w:eastAsia="Arial" w:hAnsi="Arial" w:cs="Arial"/>
          <w:sz w:val="16"/>
          <w:szCs w:val="16"/>
        </w:rPr>
        <w:t>*No aplicable a inversores del mercado secundar</w:t>
      </w:r>
      <w:r>
        <w:rPr>
          <w:rFonts w:ascii="Arial" w:eastAsia="Arial" w:hAnsi="Arial" w:cs="Arial"/>
          <w:sz w:val="16"/>
          <w:szCs w:val="16"/>
        </w:rPr>
        <w:t>io. Los inversores que negocian en una bolsa de valores pagarán las comisiones cobradas por sus corredores de bolsa. Estos cargos están disponibles públicamente en las bolsas en las que las acciones cotizan y se negocian, o pueden obtenerse de corredores d</w:t>
      </w:r>
      <w:r>
        <w:rPr>
          <w:rFonts w:ascii="Arial" w:eastAsia="Arial" w:hAnsi="Arial" w:cs="Arial"/>
          <w:sz w:val="16"/>
          <w:szCs w:val="16"/>
        </w:rPr>
        <w:t>e bolsa.</w:t>
      </w:r>
    </w:p>
    <w:p w14:paraId="6B62F1B3" w14:textId="77777777" w:rsidR="00C96D82" w:rsidRDefault="00C96D82">
      <w:pPr>
        <w:spacing w:line="2" w:lineRule="exact"/>
        <w:rPr>
          <w:sz w:val="20"/>
          <w:szCs w:val="20"/>
        </w:rPr>
      </w:pPr>
    </w:p>
    <w:p w14:paraId="0E7E89C4" w14:textId="77777777" w:rsidR="00C96D82" w:rsidRDefault="00C33FD3">
      <w:pPr>
        <w:spacing w:line="315" w:lineRule="auto"/>
        <w:ind w:left="60" w:right="140"/>
        <w:rPr>
          <w:sz w:val="20"/>
          <w:szCs w:val="20"/>
        </w:rPr>
      </w:pPr>
      <w:r>
        <w:rPr>
          <w:rFonts w:ascii="Arial" w:eastAsia="Arial" w:hAnsi="Arial" w:cs="Arial"/>
          <w:sz w:val="16"/>
          <w:szCs w:val="16"/>
        </w:rPr>
        <w:t xml:space="preserve">*Los participantes autorizados que negocien directamente con el Fondo pagarán los costos de transacción correspondientes, incluidos, en los reembolsos, cualquier impuesto aplicable sobre las ganancias de capital (CGT) y otros impuestos sobre los </w:t>
      </w:r>
      <w:r>
        <w:rPr>
          <w:rFonts w:ascii="Arial" w:eastAsia="Arial" w:hAnsi="Arial" w:cs="Arial"/>
          <w:sz w:val="16"/>
          <w:szCs w:val="16"/>
        </w:rPr>
        <w:t>valores subyacentes.</w:t>
      </w:r>
    </w:p>
    <w:p w14:paraId="02F2C34E" w14:textId="77777777" w:rsidR="00C96D82" w:rsidRDefault="00C96D82">
      <w:pPr>
        <w:spacing w:line="30" w:lineRule="exact"/>
        <w:rPr>
          <w:sz w:val="20"/>
          <w:szCs w:val="20"/>
        </w:rPr>
      </w:pPr>
    </w:p>
    <w:p w14:paraId="77C9D333" w14:textId="77777777" w:rsidR="00C96D82" w:rsidRDefault="00C33FD3">
      <w:pPr>
        <w:spacing w:line="337" w:lineRule="auto"/>
        <w:ind w:left="60"/>
        <w:rPr>
          <w:sz w:val="20"/>
          <w:szCs w:val="20"/>
        </w:rPr>
      </w:pPr>
      <w:r>
        <w:rPr>
          <w:rFonts w:ascii="Arial" w:eastAsia="Arial" w:hAnsi="Arial" w:cs="Arial"/>
          <w:sz w:val="15"/>
          <w:szCs w:val="15"/>
        </w:rPr>
        <w:t>La cifra de gastos corrientes se basa en la comisión fija anualizada cobrada a la clase de acciones de conformidad con el folleto de la Caja. Esta cifra excluye los costes relacionados con el comercio de cartera, excepto los costes pa</w:t>
      </w:r>
      <w:r>
        <w:rPr>
          <w:rFonts w:ascii="Arial" w:eastAsia="Arial" w:hAnsi="Arial" w:cs="Arial"/>
          <w:sz w:val="15"/>
          <w:szCs w:val="15"/>
        </w:rPr>
        <w:t>gados al depositario y cualquier gasto de entrada/salida pagado a un sistema de inversión colectiva subyacente (si lo hubiera).</w:t>
      </w:r>
    </w:p>
    <w:p w14:paraId="680A4E5D" w14:textId="77777777" w:rsidR="00C96D82" w:rsidRDefault="00C33FD3">
      <w:pPr>
        <w:spacing w:line="20" w:lineRule="exact"/>
        <w:rPr>
          <w:sz w:val="20"/>
          <w:szCs w:val="20"/>
        </w:rPr>
      </w:pPr>
      <w:r>
        <w:rPr>
          <w:sz w:val="20"/>
          <w:szCs w:val="20"/>
        </w:rPr>
        <w:br w:type="column"/>
      </w:r>
    </w:p>
    <w:p w14:paraId="19219836" w14:textId="77777777" w:rsidR="00C96D82" w:rsidRDefault="00C96D82">
      <w:pPr>
        <w:spacing w:line="148" w:lineRule="exact"/>
        <w:rPr>
          <w:sz w:val="20"/>
          <w:szCs w:val="20"/>
        </w:rPr>
      </w:pPr>
    </w:p>
    <w:p w14:paraId="6D1362CA" w14:textId="77777777" w:rsidR="00C96D82" w:rsidRDefault="00C33FD3">
      <w:pPr>
        <w:numPr>
          <w:ilvl w:val="0"/>
          <w:numId w:val="3"/>
        </w:numPr>
        <w:tabs>
          <w:tab w:val="left" w:pos="239"/>
        </w:tabs>
        <w:spacing w:line="333" w:lineRule="auto"/>
        <w:ind w:left="20" w:right="40" w:hanging="6"/>
        <w:jc w:val="both"/>
        <w:rPr>
          <w:rFonts w:ascii="Arial" w:eastAsia="Arial" w:hAnsi="Arial" w:cs="Arial"/>
          <w:sz w:val="15"/>
          <w:szCs w:val="15"/>
        </w:rPr>
      </w:pPr>
      <w:r>
        <w:rPr>
          <w:rFonts w:ascii="Arial" w:eastAsia="Arial" w:hAnsi="Arial" w:cs="Arial"/>
          <w:sz w:val="15"/>
          <w:szCs w:val="15"/>
        </w:rPr>
        <w:t>En la medida en que el Fondo emprenda préstamos de valores para reducir los costos, recibirá el 62,5% de los ingresos asociad</w:t>
      </w:r>
      <w:r>
        <w:rPr>
          <w:rFonts w:ascii="Arial" w:eastAsia="Arial" w:hAnsi="Arial" w:cs="Arial"/>
          <w:sz w:val="15"/>
          <w:szCs w:val="15"/>
        </w:rPr>
        <w:t>os generados y el 37,5% restante será recibido por BlackRock como agente de préstamos de valores. Dado que la participación en los ingresos por préstamos de valores no aumenta los costes de funcionamiento del Fondo, esto se ha excluido de los gastos corrie</w:t>
      </w:r>
      <w:r>
        <w:rPr>
          <w:rFonts w:ascii="Arial" w:eastAsia="Arial" w:hAnsi="Arial" w:cs="Arial"/>
          <w:sz w:val="15"/>
          <w:szCs w:val="15"/>
        </w:rPr>
        <w:t>ntes.</w:t>
      </w:r>
    </w:p>
    <w:p w14:paraId="621871A8" w14:textId="77777777" w:rsidR="00C96D82" w:rsidRDefault="00C33FD3">
      <w:pPr>
        <w:spacing w:line="20" w:lineRule="exact"/>
        <w:rPr>
          <w:sz w:val="20"/>
          <w:szCs w:val="20"/>
        </w:rPr>
      </w:pPr>
      <w:r>
        <w:rPr>
          <w:noProof/>
          <w:sz w:val="20"/>
          <w:szCs w:val="20"/>
        </w:rPr>
        <w:drawing>
          <wp:anchor distT="0" distB="0" distL="114300" distR="114300" simplePos="0" relativeHeight="251655680" behindDoc="1" locked="0" layoutInCell="0" allowOverlap="1" wp14:anchorId="47BC44B1" wp14:editId="07777777">
            <wp:simplePos x="0" y="0"/>
            <wp:positionH relativeFrom="column">
              <wp:posOffset>5715</wp:posOffset>
            </wp:positionH>
            <wp:positionV relativeFrom="paragraph">
              <wp:posOffset>3175</wp:posOffset>
            </wp:positionV>
            <wp:extent cx="3208020" cy="17272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srcRect/>
                    <a:stretch>
                      <a:fillRect/>
                    </a:stretch>
                  </pic:blipFill>
                  <pic:spPr bwMode="auto">
                    <a:xfrm>
                      <a:off x="0" y="0"/>
                      <a:ext cx="3208020" cy="172720"/>
                    </a:xfrm>
                    <a:prstGeom prst="rect">
                      <a:avLst/>
                    </a:prstGeom>
                    <a:noFill/>
                  </pic:spPr>
                </pic:pic>
              </a:graphicData>
            </a:graphic>
          </wp:anchor>
        </w:drawing>
      </w:r>
    </w:p>
    <w:p w14:paraId="296FEF7D" w14:textId="77777777" w:rsidR="00C96D82" w:rsidRDefault="00C96D82">
      <w:pPr>
        <w:spacing w:line="18" w:lineRule="exact"/>
        <w:rPr>
          <w:sz w:val="20"/>
          <w:szCs w:val="20"/>
        </w:rPr>
      </w:pPr>
    </w:p>
    <w:p w14:paraId="732322CC" w14:textId="77777777" w:rsidR="00C96D82" w:rsidRDefault="00C33FD3">
      <w:pPr>
        <w:ind w:left="60"/>
        <w:rPr>
          <w:sz w:val="20"/>
          <w:szCs w:val="20"/>
        </w:rPr>
      </w:pPr>
      <w:r>
        <w:rPr>
          <w:rFonts w:ascii="Arial" w:eastAsia="Arial" w:hAnsi="Arial" w:cs="Arial"/>
          <w:color w:val="FFFFFF"/>
          <w:sz w:val="16"/>
          <w:szCs w:val="16"/>
        </w:rPr>
        <w:t>Cargos únicos cobrados antes o después de la inversión</w:t>
      </w:r>
    </w:p>
    <w:p w14:paraId="7194DBDC" w14:textId="77777777" w:rsidR="00C96D82" w:rsidRDefault="00C96D82">
      <w:pPr>
        <w:spacing w:line="54"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540"/>
        <w:gridCol w:w="1540"/>
      </w:tblGrid>
      <w:tr w:rsidR="00C96D82" w14:paraId="6F1F5CEC" w14:textId="77777777">
        <w:trPr>
          <w:trHeight w:val="263"/>
        </w:trPr>
        <w:tc>
          <w:tcPr>
            <w:tcW w:w="3540" w:type="dxa"/>
            <w:shd w:val="clear" w:color="auto" w:fill="000000"/>
            <w:vAlign w:val="bottom"/>
          </w:tcPr>
          <w:p w14:paraId="1802B124" w14:textId="77777777" w:rsidR="00C96D82" w:rsidRDefault="00C33FD3">
            <w:pPr>
              <w:ind w:left="60"/>
              <w:rPr>
                <w:sz w:val="20"/>
                <w:szCs w:val="20"/>
              </w:rPr>
            </w:pPr>
            <w:r>
              <w:rPr>
                <w:rFonts w:ascii="Arial" w:eastAsia="Arial" w:hAnsi="Arial" w:cs="Arial"/>
                <w:color w:val="FFFFFF"/>
                <w:sz w:val="16"/>
                <w:szCs w:val="16"/>
              </w:rPr>
              <w:t>Cargo de entrada</w:t>
            </w:r>
          </w:p>
        </w:tc>
        <w:tc>
          <w:tcPr>
            <w:tcW w:w="1540" w:type="dxa"/>
            <w:tcBorders>
              <w:right w:val="single" w:sz="8" w:space="0" w:color="auto"/>
            </w:tcBorders>
            <w:vAlign w:val="bottom"/>
          </w:tcPr>
          <w:p w14:paraId="72EC3743" w14:textId="77777777" w:rsidR="00C96D82" w:rsidRDefault="00C33FD3">
            <w:pPr>
              <w:ind w:left="1040"/>
              <w:rPr>
                <w:sz w:val="20"/>
                <w:szCs w:val="20"/>
              </w:rPr>
            </w:pPr>
            <w:r>
              <w:rPr>
                <w:rFonts w:ascii="Arial" w:eastAsia="Arial" w:hAnsi="Arial" w:cs="Arial"/>
                <w:w w:val="98"/>
                <w:sz w:val="16"/>
                <w:szCs w:val="16"/>
              </w:rPr>
              <w:t>Ninguno*</w:t>
            </w:r>
          </w:p>
        </w:tc>
      </w:tr>
      <w:tr w:rsidR="00C96D82" w14:paraId="769D0D3C" w14:textId="77777777">
        <w:trPr>
          <w:trHeight w:val="41"/>
        </w:trPr>
        <w:tc>
          <w:tcPr>
            <w:tcW w:w="3540" w:type="dxa"/>
            <w:tcBorders>
              <w:bottom w:val="single" w:sz="8" w:space="0" w:color="auto"/>
            </w:tcBorders>
            <w:shd w:val="clear" w:color="auto" w:fill="000000"/>
            <w:vAlign w:val="bottom"/>
          </w:tcPr>
          <w:p w14:paraId="54CD245A" w14:textId="77777777" w:rsidR="00C96D82" w:rsidRDefault="00C96D82">
            <w:pPr>
              <w:rPr>
                <w:sz w:val="3"/>
                <w:szCs w:val="3"/>
              </w:rPr>
            </w:pPr>
          </w:p>
        </w:tc>
        <w:tc>
          <w:tcPr>
            <w:tcW w:w="1540" w:type="dxa"/>
            <w:tcBorders>
              <w:bottom w:val="single" w:sz="8" w:space="0" w:color="auto"/>
              <w:right w:val="single" w:sz="8" w:space="0" w:color="auto"/>
            </w:tcBorders>
            <w:vAlign w:val="bottom"/>
          </w:tcPr>
          <w:p w14:paraId="1231BE67" w14:textId="77777777" w:rsidR="00C96D82" w:rsidRDefault="00C96D82">
            <w:pPr>
              <w:rPr>
                <w:sz w:val="3"/>
                <w:szCs w:val="3"/>
              </w:rPr>
            </w:pPr>
          </w:p>
        </w:tc>
      </w:tr>
      <w:tr w:rsidR="00C96D82" w14:paraId="691F492C" w14:textId="77777777">
        <w:trPr>
          <w:trHeight w:val="243"/>
        </w:trPr>
        <w:tc>
          <w:tcPr>
            <w:tcW w:w="3540" w:type="dxa"/>
            <w:shd w:val="clear" w:color="auto" w:fill="000000"/>
            <w:vAlign w:val="bottom"/>
          </w:tcPr>
          <w:p w14:paraId="05D97969" w14:textId="77777777" w:rsidR="00C96D82" w:rsidRDefault="00C33FD3">
            <w:pPr>
              <w:ind w:left="60"/>
              <w:rPr>
                <w:sz w:val="20"/>
                <w:szCs w:val="20"/>
              </w:rPr>
            </w:pPr>
            <w:r>
              <w:rPr>
                <w:rFonts w:ascii="Arial" w:eastAsia="Arial" w:hAnsi="Arial" w:cs="Arial"/>
                <w:color w:val="FFFFFF"/>
                <w:sz w:val="16"/>
                <w:szCs w:val="16"/>
              </w:rPr>
              <w:t>Cargo de salida</w:t>
            </w:r>
          </w:p>
        </w:tc>
        <w:tc>
          <w:tcPr>
            <w:tcW w:w="1540" w:type="dxa"/>
            <w:tcBorders>
              <w:right w:val="single" w:sz="8" w:space="0" w:color="auto"/>
            </w:tcBorders>
            <w:vAlign w:val="bottom"/>
          </w:tcPr>
          <w:p w14:paraId="7C12772D" w14:textId="77777777" w:rsidR="00C96D82" w:rsidRDefault="00C33FD3">
            <w:pPr>
              <w:ind w:left="1040"/>
              <w:rPr>
                <w:sz w:val="20"/>
                <w:szCs w:val="20"/>
              </w:rPr>
            </w:pPr>
            <w:r>
              <w:rPr>
                <w:rFonts w:ascii="Arial" w:eastAsia="Arial" w:hAnsi="Arial" w:cs="Arial"/>
                <w:w w:val="98"/>
                <w:sz w:val="16"/>
                <w:szCs w:val="16"/>
              </w:rPr>
              <w:t>Ninguno*</w:t>
            </w:r>
          </w:p>
        </w:tc>
      </w:tr>
      <w:tr w:rsidR="00C96D82" w14:paraId="36FEB5B0" w14:textId="77777777">
        <w:trPr>
          <w:trHeight w:val="41"/>
        </w:trPr>
        <w:tc>
          <w:tcPr>
            <w:tcW w:w="3540" w:type="dxa"/>
            <w:tcBorders>
              <w:bottom w:val="single" w:sz="8" w:space="0" w:color="auto"/>
            </w:tcBorders>
            <w:shd w:val="clear" w:color="auto" w:fill="000000"/>
            <w:vAlign w:val="bottom"/>
          </w:tcPr>
          <w:p w14:paraId="30D7AA69" w14:textId="77777777" w:rsidR="00C96D82" w:rsidRDefault="00C96D82">
            <w:pPr>
              <w:rPr>
                <w:sz w:val="3"/>
                <w:szCs w:val="3"/>
              </w:rPr>
            </w:pPr>
          </w:p>
        </w:tc>
        <w:tc>
          <w:tcPr>
            <w:tcW w:w="1540" w:type="dxa"/>
            <w:tcBorders>
              <w:bottom w:val="single" w:sz="8" w:space="0" w:color="auto"/>
              <w:right w:val="single" w:sz="8" w:space="0" w:color="auto"/>
            </w:tcBorders>
            <w:vAlign w:val="bottom"/>
          </w:tcPr>
          <w:p w14:paraId="7196D064" w14:textId="77777777" w:rsidR="00C96D82" w:rsidRDefault="00C96D82">
            <w:pPr>
              <w:rPr>
                <w:sz w:val="3"/>
                <w:szCs w:val="3"/>
              </w:rPr>
            </w:pPr>
          </w:p>
        </w:tc>
      </w:tr>
    </w:tbl>
    <w:p w14:paraId="300E1A43" w14:textId="77777777" w:rsidR="00C96D82" w:rsidRDefault="00C33FD3">
      <w:pPr>
        <w:spacing w:line="20" w:lineRule="exact"/>
        <w:rPr>
          <w:sz w:val="20"/>
          <w:szCs w:val="20"/>
        </w:rPr>
      </w:pPr>
      <w:r>
        <w:rPr>
          <w:noProof/>
          <w:sz w:val="20"/>
          <w:szCs w:val="20"/>
        </w:rPr>
        <w:drawing>
          <wp:anchor distT="0" distB="0" distL="114300" distR="114300" simplePos="0" relativeHeight="251656704" behindDoc="1" locked="0" layoutInCell="0" allowOverlap="1" wp14:anchorId="70FB34BB" wp14:editId="07777777">
            <wp:simplePos x="0" y="0"/>
            <wp:positionH relativeFrom="column">
              <wp:posOffset>5715</wp:posOffset>
            </wp:positionH>
            <wp:positionV relativeFrom="paragraph">
              <wp:posOffset>-201930</wp:posOffset>
            </wp:positionV>
            <wp:extent cx="2245995" cy="95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245995" cy="9525"/>
                    </a:xfrm>
                    <a:prstGeom prst="rect">
                      <a:avLst/>
                    </a:prstGeom>
                    <a:noFill/>
                  </pic:spPr>
                </pic:pic>
              </a:graphicData>
            </a:graphic>
          </wp:anchor>
        </w:drawing>
      </w:r>
      <w:r>
        <w:rPr>
          <w:noProof/>
          <w:sz w:val="20"/>
          <w:szCs w:val="20"/>
        </w:rPr>
        <w:drawing>
          <wp:anchor distT="0" distB="0" distL="114300" distR="114300" simplePos="0" relativeHeight="251657728" behindDoc="1" locked="0" layoutInCell="0" allowOverlap="1" wp14:anchorId="146CE574" wp14:editId="07777777">
            <wp:simplePos x="0" y="0"/>
            <wp:positionH relativeFrom="column">
              <wp:posOffset>5715</wp:posOffset>
            </wp:positionH>
            <wp:positionV relativeFrom="paragraph">
              <wp:posOffset>-394335</wp:posOffset>
            </wp:positionV>
            <wp:extent cx="3199130" cy="95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3199130" cy="9525"/>
                    </a:xfrm>
                    <a:prstGeom prst="rect">
                      <a:avLst/>
                    </a:prstGeom>
                    <a:noFill/>
                  </pic:spPr>
                </pic:pic>
              </a:graphicData>
            </a:graphic>
          </wp:anchor>
        </w:drawing>
      </w:r>
    </w:p>
    <w:p w14:paraId="34FF1C98" w14:textId="77777777" w:rsidR="00C96D82" w:rsidRDefault="00C96D82">
      <w:pPr>
        <w:spacing w:line="14" w:lineRule="exact"/>
        <w:rPr>
          <w:sz w:val="20"/>
          <w:szCs w:val="20"/>
        </w:rPr>
      </w:pPr>
    </w:p>
    <w:p w14:paraId="5AB275EC" w14:textId="77777777" w:rsidR="00C96D82" w:rsidRDefault="00C33FD3">
      <w:pPr>
        <w:spacing w:line="340" w:lineRule="auto"/>
        <w:ind w:left="100" w:right="240"/>
        <w:rPr>
          <w:sz w:val="20"/>
          <w:szCs w:val="20"/>
        </w:rPr>
      </w:pPr>
      <w:r>
        <w:rPr>
          <w:rFonts w:ascii="Arial" w:eastAsia="Arial" w:hAnsi="Arial" w:cs="Arial"/>
          <w:sz w:val="14"/>
          <w:szCs w:val="14"/>
        </w:rPr>
        <w:t>Este es el máximo que se puede sacar de su dinero antes de que se invierta o antes de que se paguen los ingresos de sus inversiones.</w:t>
      </w:r>
    </w:p>
    <w:p w14:paraId="10C79D10" w14:textId="77777777" w:rsidR="00C96D82" w:rsidRDefault="00C33FD3">
      <w:pPr>
        <w:spacing w:line="20" w:lineRule="exact"/>
        <w:rPr>
          <w:sz w:val="20"/>
          <w:szCs w:val="20"/>
        </w:rPr>
      </w:pPr>
      <w:r>
        <w:rPr>
          <w:noProof/>
          <w:sz w:val="20"/>
          <w:szCs w:val="20"/>
        </w:rPr>
        <w:drawing>
          <wp:anchor distT="0" distB="0" distL="114300" distR="114300" simplePos="0" relativeHeight="251658752" behindDoc="1" locked="0" layoutInCell="0" allowOverlap="1" wp14:anchorId="1D2ED581" wp14:editId="07777777">
            <wp:simplePos x="0" y="0"/>
            <wp:positionH relativeFrom="column">
              <wp:posOffset>5715</wp:posOffset>
            </wp:positionH>
            <wp:positionV relativeFrom="paragraph">
              <wp:posOffset>-17145</wp:posOffset>
            </wp:positionV>
            <wp:extent cx="3208020" cy="18351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srcRect/>
                    <a:stretch>
                      <a:fillRect/>
                    </a:stretch>
                  </pic:blipFill>
                  <pic:spPr bwMode="auto">
                    <a:xfrm>
                      <a:off x="0" y="0"/>
                      <a:ext cx="3208020" cy="183515"/>
                    </a:xfrm>
                    <a:prstGeom prst="rect">
                      <a:avLst/>
                    </a:prstGeom>
                    <a:noFill/>
                  </pic:spPr>
                </pic:pic>
              </a:graphicData>
            </a:graphic>
          </wp:anchor>
        </w:drawing>
      </w:r>
    </w:p>
    <w:p w14:paraId="39D33C71" w14:textId="77777777" w:rsidR="00C96D82" w:rsidRDefault="00C33FD3">
      <w:pPr>
        <w:ind w:left="60"/>
        <w:rPr>
          <w:sz w:val="20"/>
          <w:szCs w:val="20"/>
        </w:rPr>
      </w:pPr>
      <w:r>
        <w:rPr>
          <w:rFonts w:ascii="Arial" w:eastAsia="Arial" w:hAnsi="Arial" w:cs="Arial"/>
          <w:color w:val="FFFFFF"/>
          <w:sz w:val="16"/>
          <w:szCs w:val="16"/>
        </w:rPr>
        <w:t>Cargos tomados de la clase de acciones durante cada año</w:t>
      </w:r>
    </w:p>
    <w:p w14:paraId="6D072C0D" w14:textId="77777777" w:rsidR="00C96D82" w:rsidRDefault="00C96D82">
      <w:pPr>
        <w:spacing w:line="71"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3540"/>
        <w:gridCol w:w="700"/>
        <w:gridCol w:w="840"/>
      </w:tblGrid>
      <w:tr w:rsidR="00C96D82" w14:paraId="410F834A" w14:textId="77777777">
        <w:trPr>
          <w:trHeight w:val="234"/>
        </w:trPr>
        <w:tc>
          <w:tcPr>
            <w:tcW w:w="3540" w:type="dxa"/>
            <w:shd w:val="clear" w:color="auto" w:fill="000000"/>
            <w:vAlign w:val="bottom"/>
          </w:tcPr>
          <w:p w14:paraId="2820F4C7" w14:textId="77777777" w:rsidR="00C96D82" w:rsidRDefault="00C33FD3">
            <w:pPr>
              <w:ind w:left="60"/>
              <w:rPr>
                <w:sz w:val="20"/>
                <w:szCs w:val="20"/>
              </w:rPr>
            </w:pPr>
            <w:r>
              <w:rPr>
                <w:rFonts w:ascii="Arial" w:eastAsia="Arial" w:hAnsi="Arial" w:cs="Arial"/>
                <w:color w:val="FFFFFF"/>
                <w:sz w:val="16"/>
                <w:szCs w:val="16"/>
              </w:rPr>
              <w:t>Cargos en curso</w:t>
            </w:r>
          </w:p>
        </w:tc>
        <w:tc>
          <w:tcPr>
            <w:tcW w:w="700" w:type="dxa"/>
            <w:vAlign w:val="bottom"/>
          </w:tcPr>
          <w:p w14:paraId="48A21919" w14:textId="77777777" w:rsidR="00C96D82" w:rsidRDefault="00C96D82">
            <w:pPr>
              <w:rPr>
                <w:sz w:val="20"/>
                <w:szCs w:val="20"/>
              </w:rPr>
            </w:pPr>
          </w:p>
        </w:tc>
        <w:tc>
          <w:tcPr>
            <w:tcW w:w="840" w:type="dxa"/>
            <w:tcBorders>
              <w:right w:val="single" w:sz="8" w:space="0" w:color="auto"/>
            </w:tcBorders>
            <w:vAlign w:val="bottom"/>
          </w:tcPr>
          <w:p w14:paraId="3862D2BA" w14:textId="77777777" w:rsidR="00C96D82" w:rsidRDefault="00C33FD3">
            <w:pPr>
              <w:jc w:val="right"/>
              <w:rPr>
                <w:sz w:val="20"/>
                <w:szCs w:val="20"/>
              </w:rPr>
            </w:pPr>
            <w:r>
              <w:rPr>
                <w:rFonts w:ascii="Arial" w:eastAsia="Arial" w:hAnsi="Arial" w:cs="Arial"/>
                <w:sz w:val="16"/>
                <w:szCs w:val="16"/>
              </w:rPr>
              <w:t>0,25%**</w:t>
            </w:r>
          </w:p>
        </w:tc>
      </w:tr>
      <w:tr w:rsidR="00C96D82" w14:paraId="6BD18F9B" w14:textId="77777777">
        <w:trPr>
          <w:trHeight w:val="24"/>
        </w:trPr>
        <w:tc>
          <w:tcPr>
            <w:tcW w:w="3540" w:type="dxa"/>
            <w:tcBorders>
              <w:bottom w:val="single" w:sz="8" w:space="0" w:color="auto"/>
            </w:tcBorders>
            <w:shd w:val="clear" w:color="auto" w:fill="000000"/>
            <w:vAlign w:val="bottom"/>
          </w:tcPr>
          <w:p w14:paraId="238601FE" w14:textId="77777777" w:rsidR="00C96D82" w:rsidRDefault="00C96D82">
            <w:pPr>
              <w:rPr>
                <w:sz w:val="2"/>
                <w:szCs w:val="2"/>
              </w:rPr>
            </w:pPr>
          </w:p>
        </w:tc>
        <w:tc>
          <w:tcPr>
            <w:tcW w:w="700" w:type="dxa"/>
            <w:tcBorders>
              <w:bottom w:val="single" w:sz="8" w:space="0" w:color="auto"/>
            </w:tcBorders>
            <w:vAlign w:val="bottom"/>
          </w:tcPr>
          <w:p w14:paraId="0F3CABC7" w14:textId="77777777" w:rsidR="00C96D82" w:rsidRDefault="00C96D82">
            <w:pPr>
              <w:rPr>
                <w:sz w:val="2"/>
                <w:szCs w:val="2"/>
              </w:rPr>
            </w:pPr>
          </w:p>
        </w:tc>
        <w:tc>
          <w:tcPr>
            <w:tcW w:w="840" w:type="dxa"/>
            <w:tcBorders>
              <w:bottom w:val="single" w:sz="8" w:space="0" w:color="auto"/>
              <w:right w:val="single" w:sz="8" w:space="0" w:color="auto"/>
            </w:tcBorders>
            <w:vAlign w:val="bottom"/>
          </w:tcPr>
          <w:p w14:paraId="5B08B5D1" w14:textId="77777777" w:rsidR="00C96D82" w:rsidRDefault="00C96D82">
            <w:pPr>
              <w:rPr>
                <w:sz w:val="2"/>
                <w:szCs w:val="2"/>
              </w:rPr>
            </w:pPr>
          </w:p>
        </w:tc>
      </w:tr>
      <w:tr w:rsidR="00C96D82" w14:paraId="7E88CD5A" w14:textId="77777777">
        <w:trPr>
          <w:trHeight w:val="264"/>
        </w:trPr>
        <w:tc>
          <w:tcPr>
            <w:tcW w:w="4240" w:type="dxa"/>
            <w:gridSpan w:val="2"/>
            <w:tcBorders>
              <w:bottom w:val="single" w:sz="8" w:space="0" w:color="auto"/>
            </w:tcBorders>
            <w:shd w:val="clear" w:color="auto" w:fill="000000"/>
            <w:vAlign w:val="bottom"/>
          </w:tcPr>
          <w:p w14:paraId="39C28A99" w14:textId="77777777" w:rsidR="00C96D82" w:rsidRDefault="00C33FD3">
            <w:pPr>
              <w:ind w:left="60"/>
              <w:rPr>
                <w:sz w:val="20"/>
                <w:szCs w:val="20"/>
              </w:rPr>
            </w:pPr>
            <w:r>
              <w:rPr>
                <w:rFonts w:ascii="Arial" w:eastAsia="Arial" w:hAnsi="Arial" w:cs="Arial"/>
                <w:color w:val="FFFFFF"/>
                <w:w w:val="96"/>
                <w:sz w:val="16"/>
                <w:szCs w:val="16"/>
              </w:rPr>
              <w:t>Cargos tomados de la clase de acciones bajo ciertas condiciones</w:t>
            </w:r>
          </w:p>
        </w:tc>
        <w:tc>
          <w:tcPr>
            <w:tcW w:w="840" w:type="dxa"/>
            <w:tcBorders>
              <w:bottom w:val="single" w:sz="8" w:space="0" w:color="auto"/>
              <w:right w:val="single" w:sz="8" w:space="0" w:color="auto"/>
            </w:tcBorders>
            <w:shd w:val="clear" w:color="auto" w:fill="000000"/>
            <w:vAlign w:val="bottom"/>
          </w:tcPr>
          <w:p w14:paraId="16DEB4AB" w14:textId="77777777" w:rsidR="00C96D82" w:rsidRDefault="00C96D82"/>
        </w:tc>
      </w:tr>
      <w:tr w:rsidR="00C96D82" w14:paraId="46AAFBFC" w14:textId="77777777">
        <w:trPr>
          <w:trHeight w:val="242"/>
        </w:trPr>
        <w:tc>
          <w:tcPr>
            <w:tcW w:w="3540" w:type="dxa"/>
            <w:tcBorders>
              <w:bottom w:val="single" w:sz="8" w:space="0" w:color="auto"/>
            </w:tcBorders>
            <w:shd w:val="clear" w:color="auto" w:fill="000000"/>
            <w:vAlign w:val="bottom"/>
          </w:tcPr>
          <w:p w14:paraId="4B009001" w14:textId="77777777" w:rsidR="00C96D82" w:rsidRDefault="00C33FD3">
            <w:pPr>
              <w:ind w:left="60"/>
              <w:rPr>
                <w:sz w:val="20"/>
                <w:szCs w:val="20"/>
              </w:rPr>
            </w:pPr>
            <w:r>
              <w:rPr>
                <w:rFonts w:ascii="Arial" w:eastAsia="Arial" w:hAnsi="Arial" w:cs="Arial"/>
                <w:color w:val="FFFFFF"/>
                <w:sz w:val="16"/>
                <w:szCs w:val="16"/>
              </w:rPr>
              <w:t>Cuota de rendimiento</w:t>
            </w:r>
          </w:p>
        </w:tc>
        <w:tc>
          <w:tcPr>
            <w:tcW w:w="700" w:type="dxa"/>
            <w:tcBorders>
              <w:bottom w:val="single" w:sz="8" w:space="0" w:color="auto"/>
            </w:tcBorders>
            <w:vAlign w:val="bottom"/>
          </w:tcPr>
          <w:p w14:paraId="0AD9C6F4" w14:textId="77777777" w:rsidR="00C96D82" w:rsidRDefault="00C96D82">
            <w:pPr>
              <w:rPr>
                <w:sz w:val="21"/>
                <w:szCs w:val="21"/>
              </w:rPr>
            </w:pPr>
          </w:p>
        </w:tc>
        <w:tc>
          <w:tcPr>
            <w:tcW w:w="840" w:type="dxa"/>
            <w:tcBorders>
              <w:bottom w:val="single" w:sz="8" w:space="0" w:color="auto"/>
              <w:right w:val="single" w:sz="8" w:space="0" w:color="auto"/>
            </w:tcBorders>
            <w:vAlign w:val="bottom"/>
          </w:tcPr>
          <w:p w14:paraId="1384E6F8" w14:textId="77777777" w:rsidR="00C96D82" w:rsidRDefault="00C33FD3">
            <w:pPr>
              <w:jc w:val="right"/>
              <w:rPr>
                <w:sz w:val="20"/>
                <w:szCs w:val="20"/>
              </w:rPr>
            </w:pPr>
            <w:r>
              <w:rPr>
                <w:rFonts w:ascii="Arial" w:eastAsia="Arial" w:hAnsi="Arial" w:cs="Arial"/>
                <w:sz w:val="16"/>
                <w:szCs w:val="16"/>
              </w:rPr>
              <w:t>Ninguna</w:t>
            </w:r>
          </w:p>
        </w:tc>
      </w:tr>
    </w:tbl>
    <w:p w14:paraId="425FEB29" w14:textId="77777777" w:rsidR="00C96D82" w:rsidRDefault="00C33FD3">
      <w:pPr>
        <w:spacing w:line="20" w:lineRule="exact"/>
        <w:rPr>
          <w:sz w:val="20"/>
          <w:szCs w:val="20"/>
        </w:rPr>
      </w:pPr>
      <w:r>
        <w:rPr>
          <w:noProof/>
          <w:sz w:val="20"/>
          <w:szCs w:val="20"/>
        </w:rPr>
        <w:drawing>
          <wp:anchor distT="0" distB="0" distL="114300" distR="114300" simplePos="0" relativeHeight="251659776" behindDoc="1" locked="0" layoutInCell="0" allowOverlap="1" wp14:anchorId="69B959D1" wp14:editId="07777777">
            <wp:simplePos x="0" y="0"/>
            <wp:positionH relativeFrom="column">
              <wp:posOffset>5715</wp:posOffset>
            </wp:positionH>
            <wp:positionV relativeFrom="paragraph">
              <wp:posOffset>-358775</wp:posOffset>
            </wp:positionV>
            <wp:extent cx="3199130" cy="95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3199130" cy="9525"/>
                    </a:xfrm>
                    <a:prstGeom prst="rect">
                      <a:avLst/>
                    </a:prstGeom>
                    <a:noFill/>
                  </pic:spPr>
                </pic:pic>
              </a:graphicData>
            </a:graphic>
          </wp:anchor>
        </w:drawing>
      </w:r>
      <w:r>
        <w:rPr>
          <w:noProof/>
          <w:sz w:val="20"/>
          <w:szCs w:val="20"/>
        </w:rPr>
        <w:drawing>
          <wp:anchor distT="0" distB="0" distL="114300" distR="114300" simplePos="0" relativeHeight="251660800" behindDoc="1" locked="0" layoutInCell="0" allowOverlap="1" wp14:anchorId="4025DE9B" wp14:editId="07777777">
            <wp:simplePos x="0" y="0"/>
            <wp:positionH relativeFrom="column">
              <wp:posOffset>5715</wp:posOffset>
            </wp:positionH>
            <wp:positionV relativeFrom="paragraph">
              <wp:posOffset>-165735</wp:posOffset>
            </wp:positionV>
            <wp:extent cx="3199130" cy="95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srcRect/>
                    <a:stretch>
                      <a:fillRect/>
                    </a:stretch>
                  </pic:blipFill>
                  <pic:spPr bwMode="auto">
                    <a:xfrm>
                      <a:off x="0" y="0"/>
                      <a:ext cx="3199130" cy="9525"/>
                    </a:xfrm>
                    <a:prstGeom prst="rect">
                      <a:avLst/>
                    </a:prstGeom>
                    <a:noFill/>
                  </pic:spPr>
                </pic:pic>
              </a:graphicData>
            </a:graphic>
          </wp:anchor>
        </w:drawing>
      </w:r>
      <w:r>
        <w:rPr>
          <w:noProof/>
          <w:sz w:val="20"/>
          <w:szCs w:val="20"/>
        </w:rPr>
        <w:drawing>
          <wp:anchor distT="0" distB="0" distL="114300" distR="114300" simplePos="0" relativeHeight="251661824" behindDoc="1" locked="0" layoutInCell="0" allowOverlap="1" wp14:anchorId="6A2B0E3F" wp14:editId="07777777">
            <wp:simplePos x="0" y="0"/>
            <wp:positionH relativeFrom="column">
              <wp:posOffset>5715</wp:posOffset>
            </wp:positionH>
            <wp:positionV relativeFrom="paragraph">
              <wp:posOffset>-522605</wp:posOffset>
            </wp:positionV>
            <wp:extent cx="3199130" cy="95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srcRect/>
                    <a:stretch>
                      <a:fillRect/>
                    </a:stretch>
                  </pic:blipFill>
                  <pic:spPr bwMode="auto">
                    <a:xfrm>
                      <a:off x="0" y="0"/>
                      <a:ext cx="3199130" cy="9525"/>
                    </a:xfrm>
                    <a:prstGeom prst="rect">
                      <a:avLst/>
                    </a:prstGeom>
                    <a:noFill/>
                  </pic:spPr>
                </pic:pic>
              </a:graphicData>
            </a:graphic>
          </wp:anchor>
        </w:drawing>
      </w:r>
    </w:p>
    <w:p w14:paraId="4B1F511A" w14:textId="77777777" w:rsidR="00C96D82" w:rsidRDefault="00C96D82">
      <w:pPr>
        <w:spacing w:line="42" w:lineRule="exact"/>
        <w:rPr>
          <w:sz w:val="20"/>
          <w:szCs w:val="20"/>
        </w:rPr>
      </w:pPr>
    </w:p>
    <w:p w14:paraId="65F9C3DC" w14:textId="77777777" w:rsidR="00C96D82" w:rsidRDefault="00C96D82">
      <w:pPr>
        <w:sectPr w:rsidR="00C96D82">
          <w:type w:val="continuous"/>
          <w:pgSz w:w="11900" w:h="16838"/>
          <w:pgMar w:top="609" w:right="626" w:bottom="0" w:left="620" w:header="0" w:footer="0" w:gutter="0"/>
          <w:cols w:num="2" w:space="720" w:equalWidth="0">
            <w:col w:w="5340" w:space="260"/>
            <w:col w:w="5060"/>
          </w:cols>
        </w:sectPr>
      </w:pPr>
    </w:p>
    <w:p w14:paraId="0B1BAEC9" w14:textId="77777777" w:rsidR="00C96D82" w:rsidRDefault="00C33FD3">
      <w:pPr>
        <w:ind w:left="20"/>
        <w:rPr>
          <w:sz w:val="20"/>
          <w:szCs w:val="20"/>
        </w:rPr>
      </w:pPr>
      <w:r>
        <w:rPr>
          <w:rFonts w:ascii="Arial" w:eastAsia="Arial" w:hAnsi="Arial" w:cs="Arial"/>
        </w:rPr>
        <w:t>Rendimiento pasado</w:t>
      </w:r>
    </w:p>
    <w:p w14:paraId="382D3271" w14:textId="77777777" w:rsidR="00C96D82" w:rsidRDefault="00C33FD3">
      <w:pPr>
        <w:spacing w:line="20" w:lineRule="exact"/>
        <w:rPr>
          <w:sz w:val="20"/>
          <w:szCs w:val="20"/>
        </w:rPr>
      </w:pPr>
      <w:r>
        <w:rPr>
          <w:noProof/>
          <w:sz w:val="20"/>
          <w:szCs w:val="20"/>
        </w:rPr>
        <w:drawing>
          <wp:anchor distT="0" distB="0" distL="114300" distR="114300" simplePos="0" relativeHeight="251662848" behindDoc="1" locked="0" layoutInCell="0" allowOverlap="1" wp14:anchorId="5BBEAEC0" wp14:editId="07777777">
            <wp:simplePos x="0" y="0"/>
            <wp:positionH relativeFrom="column">
              <wp:posOffset>2540</wp:posOffset>
            </wp:positionH>
            <wp:positionV relativeFrom="paragraph">
              <wp:posOffset>52070</wp:posOffset>
            </wp:positionV>
            <wp:extent cx="6767830" cy="95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srcRect/>
                    <a:stretch>
                      <a:fillRect/>
                    </a:stretch>
                  </pic:blipFill>
                  <pic:spPr bwMode="auto">
                    <a:xfrm>
                      <a:off x="0" y="0"/>
                      <a:ext cx="6767830" cy="9525"/>
                    </a:xfrm>
                    <a:prstGeom prst="rect">
                      <a:avLst/>
                    </a:prstGeom>
                    <a:noFill/>
                  </pic:spPr>
                </pic:pic>
              </a:graphicData>
            </a:graphic>
          </wp:anchor>
        </w:drawing>
      </w:r>
    </w:p>
    <w:p w14:paraId="5023141B" w14:textId="77777777" w:rsidR="00C96D82" w:rsidRDefault="00C96D82">
      <w:pPr>
        <w:sectPr w:rsidR="00C96D82">
          <w:type w:val="continuous"/>
          <w:pgSz w:w="11900" w:h="16838"/>
          <w:pgMar w:top="609" w:right="626" w:bottom="0" w:left="620" w:header="0" w:footer="0" w:gutter="0"/>
          <w:cols w:space="720" w:equalWidth="0">
            <w:col w:w="10660"/>
          </w:cols>
        </w:sectPr>
      </w:pPr>
    </w:p>
    <w:p w14:paraId="1F3B1409" w14:textId="77777777" w:rsidR="00C96D82" w:rsidRDefault="00C96D82">
      <w:pPr>
        <w:spacing w:line="112" w:lineRule="exact"/>
        <w:rPr>
          <w:sz w:val="20"/>
          <w:szCs w:val="20"/>
        </w:rPr>
      </w:pPr>
    </w:p>
    <w:p w14:paraId="56E73975" w14:textId="77777777" w:rsidR="00C96D82" w:rsidRDefault="00C33FD3">
      <w:pPr>
        <w:spacing w:line="302" w:lineRule="auto"/>
        <w:ind w:right="740"/>
        <w:rPr>
          <w:sz w:val="20"/>
          <w:szCs w:val="20"/>
        </w:rPr>
      </w:pPr>
      <w:r>
        <w:rPr>
          <w:rFonts w:ascii="Arial" w:eastAsia="Arial" w:hAnsi="Arial" w:cs="Arial"/>
          <w:sz w:val="16"/>
          <w:szCs w:val="16"/>
        </w:rPr>
        <w:t>El rendimiento pasado no es una guía para el rendimiento futuro.</w:t>
      </w:r>
    </w:p>
    <w:p w14:paraId="562C75D1" w14:textId="77777777" w:rsidR="00C96D82" w:rsidRDefault="00C96D82">
      <w:pPr>
        <w:spacing w:line="1" w:lineRule="exact"/>
        <w:rPr>
          <w:sz w:val="20"/>
          <w:szCs w:val="20"/>
        </w:rPr>
      </w:pPr>
    </w:p>
    <w:p w14:paraId="7D795E35" w14:textId="77777777" w:rsidR="00C96D82" w:rsidRDefault="00C33FD3">
      <w:pPr>
        <w:spacing w:line="328" w:lineRule="auto"/>
        <w:rPr>
          <w:sz w:val="20"/>
          <w:szCs w:val="20"/>
        </w:rPr>
      </w:pPr>
      <w:r>
        <w:rPr>
          <w:rFonts w:ascii="Arial" w:eastAsia="Arial" w:hAnsi="Arial" w:cs="Arial"/>
          <w:sz w:val="15"/>
          <w:szCs w:val="15"/>
        </w:rPr>
        <w:t xml:space="preserve">El gráfico muestra el rendimiento anual de la clase de acción en USD para cada año natural completo durante el período que se muestra en el gráfico. Se expresa como un cambio porcentual del </w:t>
      </w:r>
      <w:r>
        <w:rPr>
          <w:rFonts w:ascii="Arial" w:eastAsia="Arial" w:hAnsi="Arial" w:cs="Arial"/>
          <w:sz w:val="15"/>
          <w:szCs w:val="15"/>
        </w:rPr>
        <w:t>valor de los activos netos de la Clase de Acciones a final de año. El Fondo se creó en 2011. La Clase de Acciones se lanzó en 2017. El rendimiento se muestra después de la deducción de los cargos en curso. Los gastos de entrada y salida se excluyen del cál</w:t>
      </w:r>
      <w:r>
        <w:rPr>
          <w:rFonts w:ascii="Arial" w:eastAsia="Arial" w:hAnsi="Arial" w:cs="Arial"/>
          <w:sz w:val="15"/>
          <w:szCs w:val="15"/>
        </w:rPr>
        <w:t>culo.</w:t>
      </w:r>
    </w:p>
    <w:p w14:paraId="664355AD" w14:textId="77777777" w:rsidR="00C96D82" w:rsidRDefault="00C96D82">
      <w:pPr>
        <w:spacing w:line="66" w:lineRule="exact"/>
        <w:rPr>
          <w:sz w:val="20"/>
          <w:szCs w:val="20"/>
        </w:rPr>
      </w:pPr>
    </w:p>
    <w:p w14:paraId="1E000140" w14:textId="77777777" w:rsidR="00C96D82" w:rsidRDefault="00C33FD3">
      <w:pPr>
        <w:numPr>
          <w:ilvl w:val="0"/>
          <w:numId w:val="4"/>
        </w:numPr>
        <w:tabs>
          <w:tab w:val="left" w:pos="120"/>
        </w:tabs>
        <w:spacing w:line="328" w:lineRule="auto"/>
        <w:ind w:right="300" w:firstLine="8"/>
        <w:rPr>
          <w:rFonts w:ascii="Arial" w:eastAsia="Arial" w:hAnsi="Arial" w:cs="Arial"/>
          <w:sz w:val="16"/>
          <w:szCs w:val="16"/>
        </w:rPr>
      </w:pPr>
      <w:r>
        <w:rPr>
          <w:rFonts w:ascii="Arial" w:eastAsia="Arial" w:hAnsi="Arial" w:cs="Arial"/>
          <w:sz w:val="16"/>
          <w:szCs w:val="16"/>
        </w:rPr>
        <w:t>Referencia: Bloomberg Barclays US Aggregate Bond Index (USD)</w:t>
      </w:r>
    </w:p>
    <w:p w14:paraId="1A965116" w14:textId="77777777" w:rsidR="00C96D82" w:rsidRDefault="00C33FD3">
      <w:pPr>
        <w:spacing w:line="20" w:lineRule="exact"/>
        <w:rPr>
          <w:sz w:val="20"/>
          <w:szCs w:val="20"/>
        </w:rPr>
      </w:pPr>
      <w:r>
        <w:rPr>
          <w:sz w:val="20"/>
          <w:szCs w:val="20"/>
        </w:rPr>
        <w:br w:type="column"/>
      </w:r>
    </w:p>
    <w:p w14:paraId="7DF4E37C" w14:textId="77777777" w:rsidR="00C96D82" w:rsidRDefault="00C96D82">
      <w:pPr>
        <w:spacing w:line="92" w:lineRule="exact"/>
        <w:rPr>
          <w:sz w:val="20"/>
          <w:szCs w:val="20"/>
        </w:rPr>
      </w:pPr>
    </w:p>
    <w:p w14:paraId="5AE046FC" w14:textId="77777777" w:rsidR="00C96D82" w:rsidRDefault="00C33FD3">
      <w:pPr>
        <w:ind w:left="20"/>
        <w:rPr>
          <w:sz w:val="20"/>
          <w:szCs w:val="20"/>
        </w:rPr>
      </w:pPr>
      <w:r>
        <w:rPr>
          <w:rFonts w:ascii="Arial" w:eastAsia="Arial" w:hAnsi="Arial" w:cs="Arial"/>
          <w:sz w:val="16"/>
          <w:szCs w:val="16"/>
        </w:rPr>
        <w:t>Resultados históricos hasta el 31 de diciembre de 2022</w:t>
      </w:r>
    </w:p>
    <w:p w14:paraId="3E5AB3EC" w14:textId="77777777" w:rsidR="00C96D82" w:rsidRDefault="00C33FD3">
      <w:pPr>
        <w:spacing w:line="20" w:lineRule="exact"/>
        <w:rPr>
          <w:sz w:val="20"/>
          <w:szCs w:val="20"/>
        </w:rPr>
      </w:pPr>
      <w:r>
        <w:rPr>
          <w:noProof/>
          <w:sz w:val="20"/>
          <w:szCs w:val="20"/>
        </w:rPr>
        <w:drawing>
          <wp:anchor distT="0" distB="0" distL="114300" distR="114300" simplePos="0" relativeHeight="251663872" behindDoc="1" locked="0" layoutInCell="0" allowOverlap="1" wp14:anchorId="10D40C39" wp14:editId="07777777">
            <wp:simplePos x="0" y="0"/>
            <wp:positionH relativeFrom="column">
              <wp:posOffset>487680</wp:posOffset>
            </wp:positionH>
            <wp:positionV relativeFrom="paragraph">
              <wp:posOffset>20955</wp:posOffset>
            </wp:positionV>
            <wp:extent cx="3977640" cy="155448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srcRect/>
                    <a:stretch>
                      <a:fillRect/>
                    </a:stretch>
                  </pic:blipFill>
                  <pic:spPr bwMode="auto">
                    <a:xfrm>
                      <a:off x="0" y="0"/>
                      <a:ext cx="3977640" cy="1554480"/>
                    </a:xfrm>
                    <a:prstGeom prst="rect">
                      <a:avLst/>
                    </a:prstGeom>
                    <a:noFill/>
                  </pic:spPr>
                </pic:pic>
              </a:graphicData>
            </a:graphic>
          </wp:anchor>
        </w:drawing>
      </w:r>
    </w:p>
    <w:p w14:paraId="44FB30F8" w14:textId="77777777" w:rsidR="00C96D82" w:rsidRDefault="00C96D82">
      <w:pPr>
        <w:spacing w:line="200" w:lineRule="exact"/>
        <w:rPr>
          <w:sz w:val="20"/>
          <w:szCs w:val="20"/>
        </w:rPr>
      </w:pPr>
    </w:p>
    <w:p w14:paraId="1DA6542E" w14:textId="77777777" w:rsidR="00C96D82" w:rsidRDefault="00C96D82">
      <w:pPr>
        <w:spacing w:line="200" w:lineRule="exact"/>
        <w:rPr>
          <w:sz w:val="20"/>
          <w:szCs w:val="20"/>
        </w:rPr>
      </w:pPr>
    </w:p>
    <w:p w14:paraId="3041E394" w14:textId="77777777" w:rsidR="00C96D82" w:rsidRDefault="00C96D82">
      <w:pPr>
        <w:spacing w:line="200" w:lineRule="exact"/>
        <w:rPr>
          <w:sz w:val="20"/>
          <w:szCs w:val="20"/>
        </w:rPr>
      </w:pPr>
    </w:p>
    <w:p w14:paraId="722B00AE" w14:textId="77777777" w:rsidR="00C96D82" w:rsidRDefault="00C96D82">
      <w:pPr>
        <w:spacing w:line="200" w:lineRule="exact"/>
        <w:rPr>
          <w:sz w:val="20"/>
          <w:szCs w:val="20"/>
        </w:rPr>
      </w:pPr>
    </w:p>
    <w:p w14:paraId="42C6D796" w14:textId="77777777" w:rsidR="00C96D82" w:rsidRDefault="00C96D82">
      <w:pPr>
        <w:spacing w:line="200" w:lineRule="exact"/>
        <w:rPr>
          <w:sz w:val="20"/>
          <w:szCs w:val="20"/>
        </w:rPr>
      </w:pPr>
    </w:p>
    <w:p w14:paraId="6E1831B3" w14:textId="77777777" w:rsidR="00C96D82" w:rsidRDefault="00C96D82">
      <w:pPr>
        <w:spacing w:line="200" w:lineRule="exact"/>
        <w:rPr>
          <w:sz w:val="20"/>
          <w:szCs w:val="20"/>
        </w:rPr>
      </w:pPr>
    </w:p>
    <w:p w14:paraId="54E11D2A" w14:textId="77777777" w:rsidR="00C96D82" w:rsidRDefault="00C96D82">
      <w:pPr>
        <w:spacing w:line="200" w:lineRule="exact"/>
        <w:rPr>
          <w:sz w:val="20"/>
          <w:szCs w:val="20"/>
        </w:rPr>
      </w:pPr>
    </w:p>
    <w:p w14:paraId="31126E5D" w14:textId="77777777" w:rsidR="00C96D82" w:rsidRDefault="00C96D82">
      <w:pPr>
        <w:spacing w:line="200" w:lineRule="exact"/>
        <w:rPr>
          <w:sz w:val="20"/>
          <w:szCs w:val="20"/>
        </w:rPr>
      </w:pPr>
    </w:p>
    <w:p w14:paraId="2DE403A5" w14:textId="77777777" w:rsidR="00C96D82" w:rsidRDefault="00C96D82">
      <w:pPr>
        <w:spacing w:line="200" w:lineRule="exact"/>
        <w:rPr>
          <w:sz w:val="20"/>
          <w:szCs w:val="20"/>
        </w:rPr>
      </w:pPr>
    </w:p>
    <w:p w14:paraId="62431CDC" w14:textId="77777777" w:rsidR="00C96D82" w:rsidRDefault="00C96D82">
      <w:pPr>
        <w:spacing w:line="200" w:lineRule="exact"/>
        <w:rPr>
          <w:sz w:val="20"/>
          <w:szCs w:val="20"/>
        </w:rPr>
      </w:pPr>
    </w:p>
    <w:p w14:paraId="49E398E2" w14:textId="77777777" w:rsidR="00C96D82" w:rsidRDefault="00C96D82">
      <w:pPr>
        <w:spacing w:line="200" w:lineRule="exact"/>
        <w:rPr>
          <w:sz w:val="20"/>
          <w:szCs w:val="20"/>
        </w:rPr>
      </w:pPr>
    </w:p>
    <w:p w14:paraId="16287F21" w14:textId="77777777" w:rsidR="00C96D82" w:rsidRDefault="00C96D82">
      <w:pPr>
        <w:spacing w:line="333"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140"/>
        <w:gridCol w:w="1120"/>
        <w:gridCol w:w="1160"/>
        <w:gridCol w:w="1160"/>
        <w:gridCol w:w="1160"/>
        <w:gridCol w:w="1160"/>
        <w:gridCol w:w="1160"/>
        <w:gridCol w:w="20"/>
      </w:tblGrid>
      <w:tr w:rsidR="00C96D82" w14:paraId="22B1206A" w14:textId="77777777">
        <w:trPr>
          <w:trHeight w:val="228"/>
        </w:trPr>
        <w:tc>
          <w:tcPr>
            <w:tcW w:w="140" w:type="dxa"/>
            <w:tcBorders>
              <w:bottom w:val="single" w:sz="8" w:space="0" w:color="808080"/>
            </w:tcBorders>
            <w:vAlign w:val="bottom"/>
          </w:tcPr>
          <w:p w14:paraId="5BE93A62" w14:textId="77777777" w:rsidR="00C96D82" w:rsidRDefault="00C96D82">
            <w:pPr>
              <w:rPr>
                <w:sz w:val="19"/>
                <w:szCs w:val="19"/>
              </w:rPr>
            </w:pPr>
          </w:p>
        </w:tc>
        <w:tc>
          <w:tcPr>
            <w:tcW w:w="1120" w:type="dxa"/>
            <w:tcBorders>
              <w:bottom w:val="single" w:sz="8" w:space="0" w:color="808080"/>
              <w:right w:val="single" w:sz="8" w:space="0" w:color="808080"/>
            </w:tcBorders>
            <w:vAlign w:val="bottom"/>
          </w:tcPr>
          <w:p w14:paraId="384BA73E" w14:textId="77777777" w:rsidR="00C96D82" w:rsidRDefault="00C96D82">
            <w:pPr>
              <w:rPr>
                <w:sz w:val="19"/>
                <w:szCs w:val="19"/>
              </w:rPr>
            </w:pPr>
          </w:p>
        </w:tc>
        <w:tc>
          <w:tcPr>
            <w:tcW w:w="1160" w:type="dxa"/>
            <w:tcBorders>
              <w:bottom w:val="single" w:sz="8" w:space="0" w:color="808080"/>
              <w:right w:val="single" w:sz="8" w:space="0" w:color="808080"/>
            </w:tcBorders>
            <w:vAlign w:val="bottom"/>
          </w:tcPr>
          <w:p w14:paraId="5C61D62B" w14:textId="77777777" w:rsidR="00C96D82" w:rsidRDefault="00C33FD3">
            <w:pPr>
              <w:ind w:right="40"/>
              <w:jc w:val="right"/>
              <w:rPr>
                <w:sz w:val="20"/>
                <w:szCs w:val="20"/>
              </w:rPr>
            </w:pPr>
            <w:r>
              <w:rPr>
                <w:rFonts w:ascii="Arial" w:eastAsia="Arial" w:hAnsi="Arial" w:cs="Arial"/>
                <w:sz w:val="16"/>
                <w:szCs w:val="16"/>
              </w:rPr>
              <w:t>2018</w:t>
            </w:r>
          </w:p>
        </w:tc>
        <w:tc>
          <w:tcPr>
            <w:tcW w:w="1160" w:type="dxa"/>
            <w:tcBorders>
              <w:bottom w:val="single" w:sz="8" w:space="0" w:color="808080"/>
              <w:right w:val="single" w:sz="8" w:space="0" w:color="808080"/>
            </w:tcBorders>
            <w:vAlign w:val="bottom"/>
          </w:tcPr>
          <w:p w14:paraId="650B5A13" w14:textId="77777777" w:rsidR="00C96D82" w:rsidRDefault="00C33FD3">
            <w:pPr>
              <w:ind w:right="40"/>
              <w:jc w:val="right"/>
              <w:rPr>
                <w:sz w:val="20"/>
                <w:szCs w:val="20"/>
              </w:rPr>
            </w:pPr>
            <w:r>
              <w:rPr>
                <w:rFonts w:ascii="Arial" w:eastAsia="Arial" w:hAnsi="Arial" w:cs="Arial"/>
                <w:sz w:val="16"/>
                <w:szCs w:val="16"/>
              </w:rPr>
              <w:t>2019</w:t>
            </w:r>
          </w:p>
        </w:tc>
        <w:tc>
          <w:tcPr>
            <w:tcW w:w="1160" w:type="dxa"/>
            <w:tcBorders>
              <w:bottom w:val="single" w:sz="8" w:space="0" w:color="808080"/>
              <w:right w:val="single" w:sz="8" w:space="0" w:color="808080"/>
            </w:tcBorders>
            <w:vAlign w:val="bottom"/>
          </w:tcPr>
          <w:p w14:paraId="42B71CCD" w14:textId="77777777" w:rsidR="00C96D82" w:rsidRDefault="00C33FD3">
            <w:pPr>
              <w:ind w:right="40"/>
              <w:jc w:val="right"/>
              <w:rPr>
                <w:sz w:val="20"/>
                <w:szCs w:val="20"/>
              </w:rPr>
            </w:pPr>
            <w:r>
              <w:rPr>
                <w:rFonts w:ascii="Arial" w:eastAsia="Arial" w:hAnsi="Arial" w:cs="Arial"/>
                <w:sz w:val="16"/>
                <w:szCs w:val="16"/>
              </w:rPr>
              <w:t>2020</w:t>
            </w:r>
          </w:p>
        </w:tc>
        <w:tc>
          <w:tcPr>
            <w:tcW w:w="1160" w:type="dxa"/>
            <w:tcBorders>
              <w:bottom w:val="single" w:sz="8" w:space="0" w:color="808080"/>
              <w:right w:val="single" w:sz="8" w:space="0" w:color="808080"/>
            </w:tcBorders>
            <w:vAlign w:val="bottom"/>
          </w:tcPr>
          <w:p w14:paraId="65B281B9" w14:textId="77777777" w:rsidR="00C96D82" w:rsidRDefault="00C33FD3">
            <w:pPr>
              <w:ind w:right="40"/>
              <w:jc w:val="right"/>
              <w:rPr>
                <w:sz w:val="20"/>
                <w:szCs w:val="20"/>
              </w:rPr>
            </w:pPr>
            <w:r>
              <w:rPr>
                <w:rFonts w:ascii="Arial" w:eastAsia="Arial" w:hAnsi="Arial" w:cs="Arial"/>
                <w:sz w:val="16"/>
                <w:szCs w:val="16"/>
              </w:rPr>
              <w:t>2021</w:t>
            </w:r>
          </w:p>
        </w:tc>
        <w:tc>
          <w:tcPr>
            <w:tcW w:w="1160" w:type="dxa"/>
            <w:tcBorders>
              <w:bottom w:val="single" w:sz="8" w:space="0" w:color="808080"/>
            </w:tcBorders>
            <w:vAlign w:val="bottom"/>
          </w:tcPr>
          <w:p w14:paraId="1FBE425F" w14:textId="77777777" w:rsidR="00C96D82" w:rsidRDefault="00C33FD3">
            <w:pPr>
              <w:ind w:right="20"/>
              <w:jc w:val="right"/>
              <w:rPr>
                <w:sz w:val="20"/>
                <w:szCs w:val="20"/>
              </w:rPr>
            </w:pPr>
            <w:r>
              <w:rPr>
                <w:rFonts w:ascii="Arial" w:eastAsia="Arial" w:hAnsi="Arial" w:cs="Arial"/>
                <w:sz w:val="16"/>
                <w:szCs w:val="16"/>
              </w:rPr>
              <w:t>2022</w:t>
            </w:r>
          </w:p>
        </w:tc>
        <w:tc>
          <w:tcPr>
            <w:tcW w:w="0" w:type="dxa"/>
            <w:vAlign w:val="bottom"/>
          </w:tcPr>
          <w:p w14:paraId="34B3F2EB" w14:textId="77777777" w:rsidR="00C96D82" w:rsidRDefault="00C96D82">
            <w:pPr>
              <w:rPr>
                <w:sz w:val="1"/>
                <w:szCs w:val="1"/>
              </w:rPr>
            </w:pPr>
          </w:p>
        </w:tc>
      </w:tr>
      <w:tr w:rsidR="00C96D82" w14:paraId="5E590DD9" w14:textId="77777777">
        <w:trPr>
          <w:trHeight w:val="163"/>
        </w:trPr>
        <w:tc>
          <w:tcPr>
            <w:tcW w:w="140" w:type="dxa"/>
            <w:shd w:val="clear" w:color="auto" w:fill="FF4713"/>
            <w:vAlign w:val="bottom"/>
          </w:tcPr>
          <w:p w14:paraId="7D34F5C7" w14:textId="77777777" w:rsidR="00C96D82" w:rsidRDefault="00C96D82">
            <w:pPr>
              <w:rPr>
                <w:sz w:val="14"/>
                <w:szCs w:val="14"/>
              </w:rPr>
            </w:pPr>
          </w:p>
        </w:tc>
        <w:tc>
          <w:tcPr>
            <w:tcW w:w="1120" w:type="dxa"/>
            <w:vMerge w:val="restart"/>
            <w:tcBorders>
              <w:right w:val="single" w:sz="8" w:space="0" w:color="808080"/>
            </w:tcBorders>
            <w:vAlign w:val="bottom"/>
          </w:tcPr>
          <w:p w14:paraId="4BBB1262" w14:textId="77777777" w:rsidR="00C96D82" w:rsidRDefault="00C33FD3">
            <w:pPr>
              <w:ind w:left="20"/>
              <w:rPr>
                <w:sz w:val="20"/>
                <w:szCs w:val="20"/>
              </w:rPr>
            </w:pPr>
            <w:r>
              <w:rPr>
                <w:rFonts w:ascii="Arial" w:eastAsia="Arial" w:hAnsi="Arial" w:cs="Arial"/>
                <w:sz w:val="16"/>
                <w:szCs w:val="16"/>
              </w:rPr>
              <w:t>Fondo</w:t>
            </w:r>
          </w:p>
        </w:tc>
        <w:tc>
          <w:tcPr>
            <w:tcW w:w="1160" w:type="dxa"/>
            <w:vMerge w:val="restart"/>
            <w:tcBorders>
              <w:right w:val="single" w:sz="8" w:space="0" w:color="808080"/>
            </w:tcBorders>
            <w:vAlign w:val="bottom"/>
          </w:tcPr>
          <w:p w14:paraId="16FB8737" w14:textId="77777777" w:rsidR="00C96D82" w:rsidRDefault="00C33FD3">
            <w:pPr>
              <w:ind w:right="40"/>
              <w:jc w:val="right"/>
              <w:rPr>
                <w:sz w:val="20"/>
                <w:szCs w:val="20"/>
              </w:rPr>
            </w:pPr>
            <w:r>
              <w:rPr>
                <w:rFonts w:ascii="Arial" w:eastAsia="Arial" w:hAnsi="Arial" w:cs="Arial"/>
                <w:sz w:val="16"/>
                <w:szCs w:val="16"/>
              </w:rPr>
              <w:t>-0,3</w:t>
            </w:r>
          </w:p>
        </w:tc>
        <w:tc>
          <w:tcPr>
            <w:tcW w:w="1160" w:type="dxa"/>
            <w:vMerge w:val="restart"/>
            <w:tcBorders>
              <w:right w:val="single" w:sz="8" w:space="0" w:color="808080"/>
            </w:tcBorders>
            <w:vAlign w:val="bottom"/>
          </w:tcPr>
          <w:p w14:paraId="58E5BC6F" w14:textId="77777777" w:rsidR="00C96D82" w:rsidRDefault="00C33FD3">
            <w:pPr>
              <w:ind w:right="40"/>
              <w:jc w:val="right"/>
              <w:rPr>
                <w:sz w:val="20"/>
                <w:szCs w:val="20"/>
              </w:rPr>
            </w:pPr>
            <w:r>
              <w:rPr>
                <w:rFonts w:ascii="Arial" w:eastAsia="Arial" w:hAnsi="Arial" w:cs="Arial"/>
                <w:sz w:val="16"/>
                <w:szCs w:val="16"/>
              </w:rPr>
              <w:t>8,4</w:t>
            </w:r>
          </w:p>
        </w:tc>
        <w:tc>
          <w:tcPr>
            <w:tcW w:w="1160" w:type="dxa"/>
            <w:vMerge w:val="restart"/>
            <w:tcBorders>
              <w:right w:val="single" w:sz="8" w:space="0" w:color="808080"/>
            </w:tcBorders>
            <w:vAlign w:val="bottom"/>
          </w:tcPr>
          <w:p w14:paraId="485AD260" w14:textId="77777777" w:rsidR="00C96D82" w:rsidRDefault="00C33FD3">
            <w:pPr>
              <w:ind w:right="40"/>
              <w:jc w:val="right"/>
              <w:rPr>
                <w:sz w:val="20"/>
                <w:szCs w:val="20"/>
              </w:rPr>
            </w:pPr>
            <w:r>
              <w:rPr>
                <w:rFonts w:ascii="Arial" w:eastAsia="Arial" w:hAnsi="Arial" w:cs="Arial"/>
                <w:sz w:val="16"/>
                <w:szCs w:val="16"/>
              </w:rPr>
              <w:t>7,2</w:t>
            </w:r>
          </w:p>
        </w:tc>
        <w:tc>
          <w:tcPr>
            <w:tcW w:w="1160" w:type="dxa"/>
            <w:vMerge w:val="restart"/>
            <w:tcBorders>
              <w:right w:val="single" w:sz="8" w:space="0" w:color="808080"/>
            </w:tcBorders>
            <w:vAlign w:val="bottom"/>
          </w:tcPr>
          <w:p w14:paraId="0402D7EF" w14:textId="77777777" w:rsidR="00C96D82" w:rsidRDefault="00C33FD3">
            <w:pPr>
              <w:ind w:right="40"/>
              <w:jc w:val="right"/>
              <w:rPr>
                <w:sz w:val="20"/>
                <w:szCs w:val="20"/>
              </w:rPr>
            </w:pPr>
            <w:r>
              <w:rPr>
                <w:rFonts w:ascii="Arial" w:eastAsia="Arial" w:hAnsi="Arial" w:cs="Arial"/>
                <w:sz w:val="16"/>
                <w:szCs w:val="16"/>
              </w:rPr>
              <w:t>-1,9</w:t>
            </w:r>
          </w:p>
        </w:tc>
        <w:tc>
          <w:tcPr>
            <w:tcW w:w="1160" w:type="dxa"/>
            <w:vMerge w:val="restart"/>
            <w:vAlign w:val="bottom"/>
          </w:tcPr>
          <w:p w14:paraId="0A73A9AE" w14:textId="77777777" w:rsidR="00C96D82" w:rsidRDefault="00C33FD3">
            <w:pPr>
              <w:ind w:right="20"/>
              <w:jc w:val="right"/>
              <w:rPr>
                <w:sz w:val="20"/>
                <w:szCs w:val="20"/>
              </w:rPr>
            </w:pPr>
            <w:r>
              <w:rPr>
                <w:rFonts w:ascii="Arial" w:eastAsia="Arial" w:hAnsi="Arial" w:cs="Arial"/>
                <w:sz w:val="16"/>
                <w:szCs w:val="16"/>
              </w:rPr>
              <w:t>-13,2</w:t>
            </w:r>
          </w:p>
        </w:tc>
        <w:tc>
          <w:tcPr>
            <w:tcW w:w="0" w:type="dxa"/>
            <w:vAlign w:val="bottom"/>
          </w:tcPr>
          <w:p w14:paraId="0B4020A7" w14:textId="77777777" w:rsidR="00C96D82" w:rsidRDefault="00C96D82">
            <w:pPr>
              <w:rPr>
                <w:sz w:val="1"/>
                <w:szCs w:val="1"/>
              </w:rPr>
            </w:pPr>
          </w:p>
        </w:tc>
      </w:tr>
      <w:tr w:rsidR="00C96D82" w14:paraId="1D7B270A" w14:textId="77777777">
        <w:trPr>
          <w:trHeight w:val="63"/>
        </w:trPr>
        <w:tc>
          <w:tcPr>
            <w:tcW w:w="140" w:type="dxa"/>
            <w:tcBorders>
              <w:bottom w:val="single" w:sz="8" w:space="0" w:color="808080"/>
            </w:tcBorders>
            <w:vAlign w:val="bottom"/>
          </w:tcPr>
          <w:p w14:paraId="4F904CB7" w14:textId="77777777" w:rsidR="00C96D82" w:rsidRDefault="00C96D82">
            <w:pPr>
              <w:rPr>
                <w:sz w:val="5"/>
                <w:szCs w:val="5"/>
              </w:rPr>
            </w:pPr>
          </w:p>
        </w:tc>
        <w:tc>
          <w:tcPr>
            <w:tcW w:w="1120" w:type="dxa"/>
            <w:vMerge/>
            <w:tcBorders>
              <w:bottom w:val="single" w:sz="8" w:space="0" w:color="808080"/>
              <w:right w:val="single" w:sz="8" w:space="0" w:color="808080"/>
            </w:tcBorders>
            <w:vAlign w:val="bottom"/>
          </w:tcPr>
          <w:p w14:paraId="06971CD3" w14:textId="77777777" w:rsidR="00C96D82" w:rsidRDefault="00C96D82">
            <w:pPr>
              <w:rPr>
                <w:sz w:val="5"/>
                <w:szCs w:val="5"/>
              </w:rPr>
            </w:pPr>
          </w:p>
        </w:tc>
        <w:tc>
          <w:tcPr>
            <w:tcW w:w="1160" w:type="dxa"/>
            <w:vMerge/>
            <w:tcBorders>
              <w:bottom w:val="single" w:sz="8" w:space="0" w:color="808080"/>
              <w:right w:val="single" w:sz="8" w:space="0" w:color="808080"/>
            </w:tcBorders>
            <w:vAlign w:val="bottom"/>
          </w:tcPr>
          <w:p w14:paraId="2A1F701D" w14:textId="77777777" w:rsidR="00C96D82" w:rsidRDefault="00C96D82">
            <w:pPr>
              <w:rPr>
                <w:sz w:val="5"/>
                <w:szCs w:val="5"/>
              </w:rPr>
            </w:pPr>
          </w:p>
        </w:tc>
        <w:tc>
          <w:tcPr>
            <w:tcW w:w="1160" w:type="dxa"/>
            <w:vMerge/>
            <w:tcBorders>
              <w:bottom w:val="single" w:sz="8" w:space="0" w:color="808080"/>
              <w:right w:val="single" w:sz="8" w:space="0" w:color="808080"/>
            </w:tcBorders>
            <w:vAlign w:val="bottom"/>
          </w:tcPr>
          <w:p w14:paraId="03EFCA41" w14:textId="77777777" w:rsidR="00C96D82" w:rsidRDefault="00C96D82">
            <w:pPr>
              <w:rPr>
                <w:sz w:val="5"/>
                <w:szCs w:val="5"/>
              </w:rPr>
            </w:pPr>
          </w:p>
        </w:tc>
        <w:tc>
          <w:tcPr>
            <w:tcW w:w="1160" w:type="dxa"/>
            <w:vMerge/>
            <w:tcBorders>
              <w:bottom w:val="single" w:sz="8" w:space="0" w:color="808080"/>
              <w:right w:val="single" w:sz="8" w:space="0" w:color="808080"/>
            </w:tcBorders>
            <w:vAlign w:val="bottom"/>
          </w:tcPr>
          <w:p w14:paraId="5F96A722" w14:textId="77777777" w:rsidR="00C96D82" w:rsidRDefault="00C96D82">
            <w:pPr>
              <w:rPr>
                <w:sz w:val="5"/>
                <w:szCs w:val="5"/>
              </w:rPr>
            </w:pPr>
          </w:p>
        </w:tc>
        <w:tc>
          <w:tcPr>
            <w:tcW w:w="1160" w:type="dxa"/>
            <w:vMerge/>
            <w:tcBorders>
              <w:bottom w:val="single" w:sz="8" w:space="0" w:color="808080"/>
              <w:right w:val="single" w:sz="8" w:space="0" w:color="808080"/>
            </w:tcBorders>
            <w:vAlign w:val="bottom"/>
          </w:tcPr>
          <w:p w14:paraId="5B95CD12" w14:textId="77777777" w:rsidR="00C96D82" w:rsidRDefault="00C96D82">
            <w:pPr>
              <w:rPr>
                <w:sz w:val="5"/>
                <w:szCs w:val="5"/>
              </w:rPr>
            </w:pPr>
          </w:p>
        </w:tc>
        <w:tc>
          <w:tcPr>
            <w:tcW w:w="1160" w:type="dxa"/>
            <w:vMerge/>
            <w:tcBorders>
              <w:bottom w:val="single" w:sz="8" w:space="0" w:color="808080"/>
            </w:tcBorders>
            <w:vAlign w:val="bottom"/>
          </w:tcPr>
          <w:p w14:paraId="5220BBB2" w14:textId="77777777" w:rsidR="00C96D82" w:rsidRDefault="00C96D82">
            <w:pPr>
              <w:rPr>
                <w:sz w:val="5"/>
                <w:szCs w:val="5"/>
              </w:rPr>
            </w:pPr>
          </w:p>
        </w:tc>
        <w:tc>
          <w:tcPr>
            <w:tcW w:w="0" w:type="dxa"/>
            <w:vAlign w:val="bottom"/>
          </w:tcPr>
          <w:p w14:paraId="13CB595B" w14:textId="77777777" w:rsidR="00C96D82" w:rsidRDefault="00C96D82">
            <w:pPr>
              <w:rPr>
                <w:sz w:val="1"/>
                <w:szCs w:val="1"/>
              </w:rPr>
            </w:pPr>
          </w:p>
        </w:tc>
      </w:tr>
      <w:tr w:rsidR="00C96D82" w14:paraId="47E7D27A" w14:textId="77777777">
        <w:trPr>
          <w:trHeight w:val="20"/>
        </w:trPr>
        <w:tc>
          <w:tcPr>
            <w:tcW w:w="140" w:type="dxa"/>
            <w:vAlign w:val="bottom"/>
          </w:tcPr>
          <w:p w14:paraId="6D9C8D39" w14:textId="77777777" w:rsidR="00C96D82" w:rsidRDefault="00C96D82">
            <w:pPr>
              <w:spacing w:line="20" w:lineRule="exact"/>
              <w:rPr>
                <w:sz w:val="1"/>
                <w:szCs w:val="1"/>
              </w:rPr>
            </w:pPr>
          </w:p>
        </w:tc>
        <w:tc>
          <w:tcPr>
            <w:tcW w:w="1120" w:type="dxa"/>
            <w:vMerge w:val="restart"/>
            <w:tcBorders>
              <w:right w:val="single" w:sz="8" w:space="0" w:color="808080"/>
            </w:tcBorders>
            <w:vAlign w:val="bottom"/>
          </w:tcPr>
          <w:p w14:paraId="20E83D62" w14:textId="77777777" w:rsidR="00C96D82" w:rsidRDefault="00C33FD3">
            <w:pPr>
              <w:ind w:left="20"/>
              <w:rPr>
                <w:sz w:val="20"/>
                <w:szCs w:val="20"/>
              </w:rPr>
            </w:pPr>
            <w:r>
              <w:rPr>
                <w:rFonts w:ascii="Arial" w:eastAsia="Arial" w:hAnsi="Arial" w:cs="Arial"/>
                <w:sz w:val="16"/>
                <w:szCs w:val="16"/>
              </w:rPr>
              <w:t>Referencia †</w:t>
            </w:r>
          </w:p>
        </w:tc>
        <w:tc>
          <w:tcPr>
            <w:tcW w:w="1160" w:type="dxa"/>
            <w:vMerge w:val="restart"/>
            <w:tcBorders>
              <w:right w:val="single" w:sz="8" w:space="0" w:color="808080"/>
            </w:tcBorders>
            <w:vAlign w:val="bottom"/>
          </w:tcPr>
          <w:p w14:paraId="77912794" w14:textId="77777777" w:rsidR="00C96D82" w:rsidRDefault="00C33FD3">
            <w:pPr>
              <w:ind w:right="40"/>
              <w:jc w:val="right"/>
              <w:rPr>
                <w:sz w:val="20"/>
                <w:szCs w:val="20"/>
              </w:rPr>
            </w:pPr>
            <w:r>
              <w:rPr>
                <w:rFonts w:ascii="Arial" w:eastAsia="Arial" w:hAnsi="Arial" w:cs="Arial"/>
                <w:sz w:val="16"/>
                <w:szCs w:val="16"/>
              </w:rPr>
              <w:t>0,0</w:t>
            </w:r>
          </w:p>
        </w:tc>
        <w:tc>
          <w:tcPr>
            <w:tcW w:w="1160" w:type="dxa"/>
            <w:vMerge w:val="restart"/>
            <w:tcBorders>
              <w:right w:val="single" w:sz="8" w:space="0" w:color="808080"/>
            </w:tcBorders>
            <w:vAlign w:val="bottom"/>
          </w:tcPr>
          <w:p w14:paraId="4148DBEC" w14:textId="77777777" w:rsidR="00C96D82" w:rsidRDefault="00C33FD3">
            <w:pPr>
              <w:ind w:right="40"/>
              <w:jc w:val="right"/>
              <w:rPr>
                <w:sz w:val="20"/>
                <w:szCs w:val="20"/>
              </w:rPr>
            </w:pPr>
            <w:r>
              <w:rPr>
                <w:rFonts w:ascii="Arial" w:eastAsia="Arial" w:hAnsi="Arial" w:cs="Arial"/>
                <w:sz w:val="16"/>
                <w:szCs w:val="16"/>
              </w:rPr>
              <w:t>8,7</w:t>
            </w:r>
          </w:p>
        </w:tc>
        <w:tc>
          <w:tcPr>
            <w:tcW w:w="1160" w:type="dxa"/>
            <w:vMerge w:val="restart"/>
            <w:tcBorders>
              <w:right w:val="single" w:sz="8" w:space="0" w:color="808080"/>
            </w:tcBorders>
            <w:vAlign w:val="bottom"/>
          </w:tcPr>
          <w:p w14:paraId="7E7FE0CB" w14:textId="77777777" w:rsidR="00C96D82" w:rsidRDefault="00C33FD3">
            <w:pPr>
              <w:ind w:right="40"/>
              <w:jc w:val="right"/>
              <w:rPr>
                <w:sz w:val="20"/>
                <w:szCs w:val="20"/>
              </w:rPr>
            </w:pPr>
            <w:r>
              <w:rPr>
                <w:rFonts w:ascii="Arial" w:eastAsia="Arial" w:hAnsi="Arial" w:cs="Arial"/>
                <w:sz w:val="16"/>
                <w:szCs w:val="16"/>
              </w:rPr>
              <w:t>7,5</w:t>
            </w:r>
          </w:p>
        </w:tc>
        <w:tc>
          <w:tcPr>
            <w:tcW w:w="1160" w:type="dxa"/>
            <w:vMerge w:val="restart"/>
            <w:tcBorders>
              <w:right w:val="single" w:sz="8" w:space="0" w:color="808080"/>
            </w:tcBorders>
            <w:vAlign w:val="bottom"/>
          </w:tcPr>
          <w:p w14:paraId="17BF313D" w14:textId="77777777" w:rsidR="00C96D82" w:rsidRDefault="00C33FD3">
            <w:pPr>
              <w:ind w:right="40"/>
              <w:jc w:val="right"/>
              <w:rPr>
                <w:sz w:val="20"/>
                <w:szCs w:val="20"/>
              </w:rPr>
            </w:pPr>
            <w:r>
              <w:rPr>
                <w:rFonts w:ascii="Arial" w:eastAsia="Arial" w:hAnsi="Arial" w:cs="Arial"/>
                <w:sz w:val="16"/>
                <w:szCs w:val="16"/>
              </w:rPr>
              <w:t>-1,5</w:t>
            </w:r>
          </w:p>
        </w:tc>
        <w:tc>
          <w:tcPr>
            <w:tcW w:w="1160" w:type="dxa"/>
            <w:vMerge w:val="restart"/>
            <w:vAlign w:val="bottom"/>
          </w:tcPr>
          <w:p w14:paraId="51865A43" w14:textId="77777777" w:rsidR="00C96D82" w:rsidRDefault="00C33FD3">
            <w:pPr>
              <w:ind w:right="20"/>
              <w:jc w:val="right"/>
              <w:rPr>
                <w:sz w:val="20"/>
                <w:szCs w:val="20"/>
              </w:rPr>
            </w:pPr>
            <w:r>
              <w:rPr>
                <w:rFonts w:ascii="Arial" w:eastAsia="Arial" w:hAnsi="Arial" w:cs="Arial"/>
                <w:sz w:val="16"/>
                <w:szCs w:val="16"/>
              </w:rPr>
              <w:t>-13,0</w:t>
            </w:r>
          </w:p>
        </w:tc>
        <w:tc>
          <w:tcPr>
            <w:tcW w:w="0" w:type="dxa"/>
            <w:vAlign w:val="bottom"/>
          </w:tcPr>
          <w:p w14:paraId="675E05EE" w14:textId="77777777" w:rsidR="00C96D82" w:rsidRDefault="00C96D82">
            <w:pPr>
              <w:spacing w:line="20" w:lineRule="exact"/>
              <w:rPr>
                <w:sz w:val="1"/>
                <w:szCs w:val="1"/>
              </w:rPr>
            </w:pPr>
          </w:p>
        </w:tc>
      </w:tr>
      <w:tr w:rsidR="00C96D82" w14:paraId="2FC17F8B" w14:textId="77777777">
        <w:trPr>
          <w:trHeight w:val="144"/>
        </w:trPr>
        <w:tc>
          <w:tcPr>
            <w:tcW w:w="140" w:type="dxa"/>
            <w:shd w:val="clear" w:color="auto" w:fill="FFCE00"/>
            <w:vAlign w:val="bottom"/>
          </w:tcPr>
          <w:p w14:paraId="0A4F7224" w14:textId="77777777" w:rsidR="00C96D82" w:rsidRDefault="00C96D82">
            <w:pPr>
              <w:rPr>
                <w:sz w:val="12"/>
                <w:szCs w:val="12"/>
              </w:rPr>
            </w:pPr>
          </w:p>
        </w:tc>
        <w:tc>
          <w:tcPr>
            <w:tcW w:w="1120" w:type="dxa"/>
            <w:vMerge/>
            <w:tcBorders>
              <w:right w:val="single" w:sz="8" w:space="0" w:color="808080"/>
            </w:tcBorders>
            <w:vAlign w:val="bottom"/>
          </w:tcPr>
          <w:p w14:paraId="5AE48A43" w14:textId="77777777" w:rsidR="00C96D82" w:rsidRDefault="00C96D82">
            <w:pPr>
              <w:rPr>
                <w:sz w:val="12"/>
                <w:szCs w:val="12"/>
              </w:rPr>
            </w:pPr>
          </w:p>
        </w:tc>
        <w:tc>
          <w:tcPr>
            <w:tcW w:w="1160" w:type="dxa"/>
            <w:vMerge/>
            <w:tcBorders>
              <w:right w:val="single" w:sz="8" w:space="0" w:color="808080"/>
            </w:tcBorders>
            <w:vAlign w:val="bottom"/>
          </w:tcPr>
          <w:p w14:paraId="50F40DEB" w14:textId="77777777" w:rsidR="00C96D82" w:rsidRDefault="00C96D82">
            <w:pPr>
              <w:rPr>
                <w:sz w:val="12"/>
                <w:szCs w:val="12"/>
              </w:rPr>
            </w:pPr>
          </w:p>
        </w:tc>
        <w:tc>
          <w:tcPr>
            <w:tcW w:w="1160" w:type="dxa"/>
            <w:vMerge/>
            <w:tcBorders>
              <w:right w:val="single" w:sz="8" w:space="0" w:color="808080"/>
            </w:tcBorders>
            <w:vAlign w:val="bottom"/>
          </w:tcPr>
          <w:p w14:paraId="77A52294" w14:textId="77777777" w:rsidR="00C96D82" w:rsidRDefault="00C96D82">
            <w:pPr>
              <w:rPr>
                <w:sz w:val="12"/>
                <w:szCs w:val="12"/>
              </w:rPr>
            </w:pPr>
          </w:p>
        </w:tc>
        <w:tc>
          <w:tcPr>
            <w:tcW w:w="1160" w:type="dxa"/>
            <w:vMerge/>
            <w:tcBorders>
              <w:right w:val="single" w:sz="8" w:space="0" w:color="808080"/>
            </w:tcBorders>
            <w:vAlign w:val="bottom"/>
          </w:tcPr>
          <w:p w14:paraId="007DCDA8" w14:textId="77777777" w:rsidR="00C96D82" w:rsidRDefault="00C96D82">
            <w:pPr>
              <w:rPr>
                <w:sz w:val="12"/>
                <w:szCs w:val="12"/>
              </w:rPr>
            </w:pPr>
          </w:p>
        </w:tc>
        <w:tc>
          <w:tcPr>
            <w:tcW w:w="1160" w:type="dxa"/>
            <w:vMerge/>
            <w:tcBorders>
              <w:right w:val="single" w:sz="8" w:space="0" w:color="808080"/>
            </w:tcBorders>
            <w:vAlign w:val="bottom"/>
          </w:tcPr>
          <w:p w14:paraId="450EA2D7" w14:textId="77777777" w:rsidR="00C96D82" w:rsidRDefault="00C96D82">
            <w:pPr>
              <w:rPr>
                <w:sz w:val="12"/>
                <w:szCs w:val="12"/>
              </w:rPr>
            </w:pPr>
          </w:p>
        </w:tc>
        <w:tc>
          <w:tcPr>
            <w:tcW w:w="1160" w:type="dxa"/>
            <w:vMerge/>
            <w:vAlign w:val="bottom"/>
          </w:tcPr>
          <w:p w14:paraId="3DD355C9" w14:textId="77777777" w:rsidR="00C96D82" w:rsidRDefault="00C96D82">
            <w:pPr>
              <w:rPr>
                <w:sz w:val="12"/>
                <w:szCs w:val="12"/>
              </w:rPr>
            </w:pPr>
          </w:p>
        </w:tc>
        <w:tc>
          <w:tcPr>
            <w:tcW w:w="0" w:type="dxa"/>
            <w:vAlign w:val="bottom"/>
          </w:tcPr>
          <w:p w14:paraId="1A81F0B1" w14:textId="77777777" w:rsidR="00C96D82" w:rsidRDefault="00C96D82">
            <w:pPr>
              <w:rPr>
                <w:sz w:val="1"/>
                <w:szCs w:val="1"/>
              </w:rPr>
            </w:pPr>
          </w:p>
        </w:tc>
      </w:tr>
      <w:tr w:rsidR="00C96D82" w14:paraId="717AAFBA" w14:textId="77777777">
        <w:trPr>
          <w:trHeight w:val="68"/>
        </w:trPr>
        <w:tc>
          <w:tcPr>
            <w:tcW w:w="140" w:type="dxa"/>
            <w:vAlign w:val="bottom"/>
          </w:tcPr>
          <w:p w14:paraId="56EE48EE" w14:textId="77777777" w:rsidR="00C96D82" w:rsidRDefault="00C96D82">
            <w:pPr>
              <w:rPr>
                <w:sz w:val="5"/>
                <w:szCs w:val="5"/>
              </w:rPr>
            </w:pPr>
          </w:p>
        </w:tc>
        <w:tc>
          <w:tcPr>
            <w:tcW w:w="1120" w:type="dxa"/>
            <w:vMerge/>
            <w:tcBorders>
              <w:right w:val="single" w:sz="8" w:space="0" w:color="808080"/>
            </w:tcBorders>
            <w:vAlign w:val="bottom"/>
          </w:tcPr>
          <w:p w14:paraId="2908EB2C" w14:textId="77777777" w:rsidR="00C96D82" w:rsidRDefault="00C96D82">
            <w:pPr>
              <w:rPr>
                <w:sz w:val="5"/>
                <w:szCs w:val="5"/>
              </w:rPr>
            </w:pPr>
          </w:p>
        </w:tc>
        <w:tc>
          <w:tcPr>
            <w:tcW w:w="1160" w:type="dxa"/>
            <w:vMerge/>
            <w:tcBorders>
              <w:right w:val="single" w:sz="8" w:space="0" w:color="808080"/>
            </w:tcBorders>
            <w:vAlign w:val="bottom"/>
          </w:tcPr>
          <w:p w14:paraId="121FD38A" w14:textId="77777777" w:rsidR="00C96D82" w:rsidRDefault="00C96D82">
            <w:pPr>
              <w:rPr>
                <w:sz w:val="5"/>
                <w:szCs w:val="5"/>
              </w:rPr>
            </w:pPr>
          </w:p>
        </w:tc>
        <w:tc>
          <w:tcPr>
            <w:tcW w:w="1160" w:type="dxa"/>
            <w:vMerge/>
            <w:tcBorders>
              <w:right w:val="single" w:sz="8" w:space="0" w:color="808080"/>
            </w:tcBorders>
            <w:vAlign w:val="bottom"/>
          </w:tcPr>
          <w:p w14:paraId="1FE2DD96" w14:textId="77777777" w:rsidR="00C96D82" w:rsidRDefault="00C96D82">
            <w:pPr>
              <w:rPr>
                <w:sz w:val="5"/>
                <w:szCs w:val="5"/>
              </w:rPr>
            </w:pPr>
          </w:p>
        </w:tc>
        <w:tc>
          <w:tcPr>
            <w:tcW w:w="1160" w:type="dxa"/>
            <w:vMerge/>
            <w:tcBorders>
              <w:right w:val="single" w:sz="8" w:space="0" w:color="808080"/>
            </w:tcBorders>
            <w:vAlign w:val="bottom"/>
          </w:tcPr>
          <w:p w14:paraId="27357532" w14:textId="77777777" w:rsidR="00C96D82" w:rsidRDefault="00C96D82">
            <w:pPr>
              <w:rPr>
                <w:sz w:val="5"/>
                <w:szCs w:val="5"/>
              </w:rPr>
            </w:pPr>
          </w:p>
        </w:tc>
        <w:tc>
          <w:tcPr>
            <w:tcW w:w="1160" w:type="dxa"/>
            <w:vMerge/>
            <w:tcBorders>
              <w:right w:val="single" w:sz="8" w:space="0" w:color="808080"/>
            </w:tcBorders>
            <w:vAlign w:val="bottom"/>
          </w:tcPr>
          <w:p w14:paraId="07F023C8" w14:textId="77777777" w:rsidR="00C96D82" w:rsidRDefault="00C96D82">
            <w:pPr>
              <w:rPr>
                <w:sz w:val="5"/>
                <w:szCs w:val="5"/>
              </w:rPr>
            </w:pPr>
          </w:p>
        </w:tc>
        <w:tc>
          <w:tcPr>
            <w:tcW w:w="1160" w:type="dxa"/>
            <w:vMerge/>
            <w:vAlign w:val="bottom"/>
          </w:tcPr>
          <w:p w14:paraId="4BDB5498" w14:textId="77777777" w:rsidR="00C96D82" w:rsidRDefault="00C96D82">
            <w:pPr>
              <w:rPr>
                <w:sz w:val="5"/>
                <w:szCs w:val="5"/>
              </w:rPr>
            </w:pPr>
          </w:p>
        </w:tc>
        <w:tc>
          <w:tcPr>
            <w:tcW w:w="0" w:type="dxa"/>
            <w:vAlign w:val="bottom"/>
          </w:tcPr>
          <w:p w14:paraId="2916C19D" w14:textId="77777777" w:rsidR="00C96D82" w:rsidRDefault="00C96D82">
            <w:pPr>
              <w:rPr>
                <w:sz w:val="1"/>
                <w:szCs w:val="1"/>
              </w:rPr>
            </w:pPr>
          </w:p>
        </w:tc>
      </w:tr>
    </w:tbl>
    <w:p w14:paraId="74869460" w14:textId="77777777" w:rsidR="00C96D82" w:rsidRDefault="00C96D82">
      <w:pPr>
        <w:spacing w:line="42" w:lineRule="exact"/>
        <w:rPr>
          <w:sz w:val="20"/>
          <w:szCs w:val="20"/>
        </w:rPr>
      </w:pPr>
    </w:p>
    <w:p w14:paraId="187F57B8" w14:textId="77777777" w:rsidR="00C96D82" w:rsidRDefault="00C96D82">
      <w:pPr>
        <w:sectPr w:rsidR="00C96D82">
          <w:type w:val="continuous"/>
          <w:pgSz w:w="11900" w:h="16838"/>
          <w:pgMar w:top="609" w:right="626" w:bottom="0" w:left="620" w:header="0" w:footer="0" w:gutter="0"/>
          <w:cols w:num="2" w:space="720" w:equalWidth="0">
            <w:col w:w="3320" w:space="280"/>
            <w:col w:w="7060"/>
          </w:cols>
        </w:sectPr>
      </w:pPr>
    </w:p>
    <w:p w14:paraId="4967C0F8" w14:textId="77777777" w:rsidR="00C96D82" w:rsidRDefault="00C33FD3">
      <w:pPr>
        <w:ind w:left="40"/>
        <w:rPr>
          <w:sz w:val="20"/>
          <w:szCs w:val="20"/>
        </w:rPr>
      </w:pPr>
      <w:r>
        <w:rPr>
          <w:rFonts w:ascii="Arial" w:eastAsia="Arial" w:hAnsi="Arial" w:cs="Arial"/>
          <w:sz w:val="26"/>
          <w:szCs w:val="26"/>
        </w:rPr>
        <w:t>Información práctica</w:t>
      </w:r>
    </w:p>
    <w:p w14:paraId="3665F17B" w14:textId="77777777" w:rsidR="00C96D82" w:rsidRDefault="00C33FD3">
      <w:pPr>
        <w:spacing w:line="20" w:lineRule="exact"/>
        <w:rPr>
          <w:sz w:val="20"/>
          <w:szCs w:val="20"/>
        </w:rPr>
      </w:pPr>
      <w:r>
        <w:rPr>
          <w:noProof/>
          <w:sz w:val="20"/>
          <w:szCs w:val="20"/>
        </w:rPr>
        <w:drawing>
          <wp:anchor distT="0" distB="0" distL="114300" distR="114300" simplePos="0" relativeHeight="251664896" behindDoc="1" locked="0" layoutInCell="0" allowOverlap="1" wp14:anchorId="78E13D6E" wp14:editId="07777777">
            <wp:simplePos x="0" y="0"/>
            <wp:positionH relativeFrom="column">
              <wp:posOffset>2540</wp:posOffset>
            </wp:positionH>
            <wp:positionV relativeFrom="paragraph">
              <wp:posOffset>22860</wp:posOffset>
            </wp:positionV>
            <wp:extent cx="6767830" cy="95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srcRect/>
                    <a:stretch>
                      <a:fillRect/>
                    </a:stretch>
                  </pic:blipFill>
                  <pic:spPr bwMode="auto">
                    <a:xfrm>
                      <a:off x="0" y="0"/>
                      <a:ext cx="6767830" cy="9525"/>
                    </a:xfrm>
                    <a:prstGeom prst="rect">
                      <a:avLst/>
                    </a:prstGeom>
                    <a:noFill/>
                  </pic:spPr>
                </pic:pic>
              </a:graphicData>
            </a:graphic>
          </wp:anchor>
        </w:drawing>
      </w:r>
    </w:p>
    <w:p w14:paraId="54738AF4" w14:textId="77777777" w:rsidR="00C96D82" w:rsidRDefault="00C96D82">
      <w:pPr>
        <w:spacing w:line="46" w:lineRule="exact"/>
        <w:rPr>
          <w:sz w:val="20"/>
          <w:szCs w:val="20"/>
        </w:rPr>
      </w:pPr>
    </w:p>
    <w:p w14:paraId="4CB4D2EC" w14:textId="77777777" w:rsidR="00C96D82" w:rsidRDefault="00C33FD3">
      <w:pPr>
        <w:ind w:left="160"/>
        <w:rPr>
          <w:sz w:val="20"/>
          <w:szCs w:val="20"/>
        </w:rPr>
      </w:pPr>
      <w:r>
        <w:rPr>
          <w:rFonts w:ascii="Arial" w:eastAsia="Arial" w:hAnsi="Arial" w:cs="Arial"/>
          <w:sz w:val="16"/>
          <w:szCs w:val="16"/>
        </w:rPr>
        <w:t>El depositario del Fondo es State Street Custodial Services (Ireland) Limited.</w:t>
      </w:r>
    </w:p>
    <w:p w14:paraId="620CE22A" w14:textId="77777777" w:rsidR="00C96D82" w:rsidRDefault="00C33FD3">
      <w:pPr>
        <w:spacing w:line="20" w:lineRule="exact"/>
        <w:rPr>
          <w:sz w:val="20"/>
          <w:szCs w:val="20"/>
        </w:rPr>
      </w:pPr>
      <w:r>
        <w:rPr>
          <w:noProof/>
          <w:sz w:val="20"/>
          <w:szCs w:val="20"/>
        </w:rPr>
        <w:drawing>
          <wp:anchor distT="0" distB="0" distL="114300" distR="114300" simplePos="0" relativeHeight="251665920" behindDoc="1" locked="0" layoutInCell="0" allowOverlap="1" wp14:anchorId="2B3163F5" wp14:editId="07777777">
            <wp:simplePos x="0" y="0"/>
            <wp:positionH relativeFrom="column">
              <wp:posOffset>2540</wp:posOffset>
            </wp:positionH>
            <wp:positionV relativeFrom="paragraph">
              <wp:posOffset>-66040</wp:posOffset>
            </wp:positionV>
            <wp:extent cx="45720" cy="7747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46ABBD8F" w14:textId="77777777" w:rsidR="00C96D82" w:rsidRDefault="00C96D82">
      <w:pPr>
        <w:spacing w:line="28" w:lineRule="exact"/>
        <w:rPr>
          <w:sz w:val="20"/>
          <w:szCs w:val="20"/>
        </w:rPr>
      </w:pPr>
    </w:p>
    <w:p w14:paraId="4E09387D" w14:textId="77777777" w:rsidR="00C96D82" w:rsidRDefault="00C33FD3">
      <w:pPr>
        <w:spacing w:line="345" w:lineRule="auto"/>
        <w:ind w:left="160" w:right="160"/>
        <w:rPr>
          <w:sz w:val="20"/>
          <w:szCs w:val="20"/>
        </w:rPr>
      </w:pPr>
      <w:r>
        <w:rPr>
          <w:rFonts w:ascii="Arial" w:eastAsia="Arial" w:hAnsi="Arial" w:cs="Arial"/>
          <w:sz w:val="14"/>
          <w:szCs w:val="14"/>
        </w:rPr>
        <w:t xml:space="preserve">Se puede obtener más información sobre el Fondo y la Clase de Acciones en el último informe anual e informes semestrales de iShares II plc. Estos documentos están disponibles gratuitamente en inglés y en otros idiomas. Estos se pueden encontrar, junto con </w:t>
      </w:r>
      <w:r>
        <w:rPr>
          <w:rFonts w:ascii="Arial" w:eastAsia="Arial" w:hAnsi="Arial" w:cs="Arial"/>
          <w:sz w:val="14"/>
          <w:szCs w:val="14"/>
        </w:rPr>
        <w:t>otra información, como detalles de las inversiones subyacentes clave de la Clase de Acciones y los precios de las acciones, en el sitio web de iShares en www.ishares.com o llamando al +44 (0)845 357 7000 o de su corredor o asesor financiero. Los inversores</w:t>
      </w:r>
      <w:r>
        <w:rPr>
          <w:rFonts w:ascii="Arial" w:eastAsia="Arial" w:hAnsi="Arial" w:cs="Arial"/>
          <w:sz w:val="14"/>
          <w:szCs w:val="14"/>
        </w:rPr>
        <w:t xml:space="preserve"> deben tener en cuenta que la legislación fiscal que se aplica a la Clase de Fondos y Acciones puede tener un impacto en la posición fiscal personal de su inversión.</w:t>
      </w:r>
    </w:p>
    <w:p w14:paraId="6B27C558" w14:textId="77777777" w:rsidR="00C96D82" w:rsidRDefault="00C33FD3">
      <w:pPr>
        <w:spacing w:line="20" w:lineRule="exact"/>
        <w:rPr>
          <w:sz w:val="20"/>
          <w:szCs w:val="20"/>
        </w:rPr>
      </w:pPr>
      <w:r>
        <w:rPr>
          <w:noProof/>
          <w:sz w:val="20"/>
          <w:szCs w:val="20"/>
        </w:rPr>
        <w:drawing>
          <wp:anchor distT="0" distB="0" distL="114300" distR="114300" simplePos="0" relativeHeight="251666944" behindDoc="1" locked="0" layoutInCell="0" allowOverlap="1" wp14:anchorId="698196A6" wp14:editId="07777777">
            <wp:simplePos x="0" y="0"/>
            <wp:positionH relativeFrom="column">
              <wp:posOffset>2540</wp:posOffset>
            </wp:positionH>
            <wp:positionV relativeFrom="paragraph">
              <wp:posOffset>-537210</wp:posOffset>
            </wp:positionV>
            <wp:extent cx="45720" cy="7747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r>
        <w:rPr>
          <w:noProof/>
          <w:sz w:val="20"/>
          <w:szCs w:val="20"/>
        </w:rPr>
        <w:drawing>
          <wp:anchor distT="0" distB="0" distL="114300" distR="114300" simplePos="0" relativeHeight="251667968" behindDoc="1" locked="0" layoutInCell="0" allowOverlap="1" wp14:anchorId="33189DBF" wp14:editId="07777777">
            <wp:simplePos x="0" y="0"/>
            <wp:positionH relativeFrom="column">
              <wp:posOffset>2540</wp:posOffset>
            </wp:positionH>
            <wp:positionV relativeFrom="paragraph">
              <wp:posOffset>-95250</wp:posOffset>
            </wp:positionV>
            <wp:extent cx="45720" cy="7747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339E2472" w14:textId="77777777" w:rsidR="00C96D82" w:rsidRDefault="00C33FD3">
      <w:pPr>
        <w:spacing w:line="345" w:lineRule="auto"/>
        <w:ind w:left="160" w:right="280"/>
        <w:rPr>
          <w:sz w:val="20"/>
          <w:szCs w:val="20"/>
        </w:rPr>
      </w:pPr>
      <w:r>
        <w:rPr>
          <w:rFonts w:ascii="Arial" w:eastAsia="Arial" w:hAnsi="Arial" w:cs="Arial"/>
          <w:sz w:val="14"/>
          <w:szCs w:val="14"/>
        </w:rPr>
        <w:t>El Fondo es un subfondo de iShares II plc, una estructura general que comprende diferen</w:t>
      </w:r>
      <w:r>
        <w:rPr>
          <w:rFonts w:ascii="Arial" w:eastAsia="Arial" w:hAnsi="Arial" w:cs="Arial"/>
          <w:sz w:val="14"/>
          <w:szCs w:val="14"/>
        </w:rPr>
        <w:t>tes subfondos. La Caja tiene una o más clases de acciones. Este documento es específico de la clase de acciones y fondos que se indica al principio del presente documento. Sin embargo, el folleto y los informes anuales y semestrales se preparan para el par</w:t>
      </w:r>
      <w:r>
        <w:rPr>
          <w:rFonts w:ascii="Arial" w:eastAsia="Arial" w:hAnsi="Arial" w:cs="Arial"/>
          <w:sz w:val="14"/>
          <w:szCs w:val="14"/>
        </w:rPr>
        <w:t>aguas.</w:t>
      </w:r>
    </w:p>
    <w:p w14:paraId="1628355F" w14:textId="77777777" w:rsidR="00C96D82" w:rsidRDefault="00C33FD3">
      <w:pPr>
        <w:spacing w:line="20" w:lineRule="exact"/>
        <w:rPr>
          <w:sz w:val="20"/>
          <w:szCs w:val="20"/>
        </w:rPr>
      </w:pPr>
      <w:r>
        <w:rPr>
          <w:noProof/>
          <w:sz w:val="20"/>
          <w:szCs w:val="20"/>
        </w:rPr>
        <w:drawing>
          <wp:anchor distT="0" distB="0" distL="114300" distR="114300" simplePos="0" relativeHeight="251668992" behindDoc="1" locked="0" layoutInCell="0" allowOverlap="1" wp14:anchorId="06F2E006" wp14:editId="07777777">
            <wp:simplePos x="0" y="0"/>
            <wp:positionH relativeFrom="column">
              <wp:posOffset>2540</wp:posOffset>
            </wp:positionH>
            <wp:positionV relativeFrom="paragraph">
              <wp:posOffset>-243205</wp:posOffset>
            </wp:positionV>
            <wp:extent cx="45720" cy="7747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09EDB778" w14:textId="77777777" w:rsidR="00C96D82" w:rsidRDefault="00C33FD3">
      <w:pPr>
        <w:spacing w:line="302" w:lineRule="auto"/>
        <w:ind w:left="160" w:right="40"/>
        <w:rPr>
          <w:sz w:val="20"/>
          <w:szCs w:val="20"/>
        </w:rPr>
      </w:pPr>
      <w:r>
        <w:rPr>
          <w:rFonts w:ascii="Arial" w:eastAsia="Arial" w:hAnsi="Arial" w:cs="Arial"/>
          <w:sz w:val="16"/>
          <w:szCs w:val="16"/>
        </w:rPr>
        <w:t>iShares II plc puede ser considerada responsable únicamente sobre la base de cualquier declaración contenida en este documento que sea engañosa, inexacta o inconsistente con las partes pertinentes del folleto del Fondo.</w:t>
      </w:r>
    </w:p>
    <w:p w14:paraId="1F2120A3" w14:textId="77777777" w:rsidR="00C96D82" w:rsidRDefault="00C33FD3">
      <w:pPr>
        <w:spacing w:line="20" w:lineRule="exact"/>
        <w:rPr>
          <w:sz w:val="20"/>
          <w:szCs w:val="20"/>
        </w:rPr>
      </w:pPr>
      <w:r>
        <w:rPr>
          <w:noProof/>
          <w:sz w:val="20"/>
          <w:szCs w:val="20"/>
        </w:rPr>
        <w:drawing>
          <wp:anchor distT="0" distB="0" distL="114300" distR="114300" simplePos="0" relativeHeight="251670016" behindDoc="1" locked="0" layoutInCell="0" allowOverlap="1" wp14:anchorId="6A2E0B74" wp14:editId="07777777">
            <wp:simplePos x="0" y="0"/>
            <wp:positionH relativeFrom="column">
              <wp:posOffset>2540</wp:posOffset>
            </wp:positionH>
            <wp:positionV relativeFrom="paragraph">
              <wp:posOffset>-243205</wp:posOffset>
            </wp:positionV>
            <wp:extent cx="45720" cy="7747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72EB1A6E" w14:textId="77777777" w:rsidR="00C96D82" w:rsidRDefault="00C33FD3">
      <w:pPr>
        <w:ind w:left="160"/>
        <w:rPr>
          <w:sz w:val="20"/>
          <w:szCs w:val="20"/>
        </w:rPr>
      </w:pPr>
      <w:r>
        <w:rPr>
          <w:rFonts w:ascii="Arial" w:eastAsia="Arial" w:hAnsi="Arial" w:cs="Arial"/>
          <w:sz w:val="16"/>
          <w:szCs w:val="16"/>
        </w:rPr>
        <w:t>El valor de activo neto d</w:t>
      </w:r>
      <w:r>
        <w:rPr>
          <w:rFonts w:ascii="Arial" w:eastAsia="Arial" w:hAnsi="Arial" w:cs="Arial"/>
          <w:sz w:val="16"/>
          <w:szCs w:val="16"/>
        </w:rPr>
        <w:t>iario indicativo de la clase de acciones está disponible en http://deutsche-boerse.com y/o http://www.reuters.com.</w:t>
      </w:r>
    </w:p>
    <w:p w14:paraId="3788E649" w14:textId="77777777" w:rsidR="00C96D82" w:rsidRDefault="00C33FD3">
      <w:pPr>
        <w:spacing w:line="20" w:lineRule="exact"/>
        <w:rPr>
          <w:sz w:val="20"/>
          <w:szCs w:val="20"/>
        </w:rPr>
      </w:pPr>
      <w:r>
        <w:rPr>
          <w:noProof/>
          <w:sz w:val="20"/>
          <w:szCs w:val="20"/>
        </w:rPr>
        <w:drawing>
          <wp:anchor distT="0" distB="0" distL="114300" distR="114300" simplePos="0" relativeHeight="251671040" behindDoc="1" locked="0" layoutInCell="0" allowOverlap="1" wp14:anchorId="7E5E7940" wp14:editId="07777777">
            <wp:simplePos x="0" y="0"/>
            <wp:positionH relativeFrom="column">
              <wp:posOffset>2540</wp:posOffset>
            </wp:positionH>
            <wp:positionV relativeFrom="paragraph">
              <wp:posOffset>-66040</wp:posOffset>
            </wp:positionV>
            <wp:extent cx="45720" cy="7747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06BBA33E" w14:textId="77777777" w:rsidR="00C96D82" w:rsidRDefault="00C96D82">
      <w:pPr>
        <w:spacing w:line="28" w:lineRule="exact"/>
        <w:rPr>
          <w:sz w:val="20"/>
          <w:szCs w:val="20"/>
        </w:rPr>
      </w:pPr>
    </w:p>
    <w:p w14:paraId="19A84D60" w14:textId="77777777" w:rsidR="00C96D82" w:rsidRDefault="00C33FD3">
      <w:pPr>
        <w:spacing w:line="322" w:lineRule="auto"/>
        <w:ind w:left="160" w:right="40"/>
        <w:rPr>
          <w:sz w:val="20"/>
          <w:szCs w:val="20"/>
        </w:rPr>
      </w:pPr>
      <w:r>
        <w:rPr>
          <w:rFonts w:ascii="Arial" w:eastAsia="Arial" w:hAnsi="Arial" w:cs="Arial"/>
          <w:sz w:val="15"/>
          <w:szCs w:val="15"/>
        </w:rPr>
        <w:t>Con arreglo a la legislación irlandesa, iShares II plc ha separado el pasivo entre sus subfondos (es decir, los activos del Fondo no se ut</w:t>
      </w:r>
      <w:r>
        <w:rPr>
          <w:rFonts w:ascii="Arial" w:eastAsia="Arial" w:hAnsi="Arial" w:cs="Arial"/>
          <w:sz w:val="15"/>
          <w:szCs w:val="15"/>
        </w:rPr>
        <w:t>ilizarán para liquidar el pasivo de otros subfondos dentro de iShares II plc). Además, los activos de la Caja se mantienen separados de los activos de otros subfondos. Los activos y pasivos específicos de una clase de acciones serían atribuibles únicamente</w:t>
      </w:r>
      <w:r>
        <w:rPr>
          <w:rFonts w:ascii="Arial" w:eastAsia="Arial" w:hAnsi="Arial" w:cs="Arial"/>
          <w:sz w:val="15"/>
          <w:szCs w:val="15"/>
        </w:rPr>
        <w:t xml:space="preserve"> a esa clase de acciones, aunque no existe una segregación de pasivos entre clases de acciones con arreglo a la legislación irlandesa.</w:t>
      </w:r>
    </w:p>
    <w:p w14:paraId="70959797" w14:textId="77777777" w:rsidR="00C96D82" w:rsidRDefault="00C33FD3">
      <w:pPr>
        <w:spacing w:line="20" w:lineRule="exact"/>
        <w:rPr>
          <w:sz w:val="20"/>
          <w:szCs w:val="20"/>
        </w:rPr>
      </w:pPr>
      <w:r>
        <w:rPr>
          <w:noProof/>
          <w:sz w:val="20"/>
          <w:szCs w:val="20"/>
        </w:rPr>
        <w:drawing>
          <wp:anchor distT="0" distB="0" distL="114300" distR="114300" simplePos="0" relativeHeight="251672064" behindDoc="1" locked="0" layoutInCell="0" allowOverlap="1" wp14:anchorId="6954C940" wp14:editId="07777777">
            <wp:simplePos x="0" y="0"/>
            <wp:positionH relativeFrom="column">
              <wp:posOffset>2540</wp:posOffset>
            </wp:positionH>
            <wp:positionV relativeFrom="paragraph">
              <wp:posOffset>-389890</wp:posOffset>
            </wp:positionV>
            <wp:extent cx="45720" cy="7747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094F9FA3" w14:textId="77777777" w:rsidR="00C96D82" w:rsidRDefault="00C33FD3">
      <w:pPr>
        <w:spacing w:line="302" w:lineRule="auto"/>
        <w:ind w:left="160" w:right="80"/>
        <w:rPr>
          <w:sz w:val="20"/>
          <w:szCs w:val="20"/>
        </w:rPr>
      </w:pPr>
      <w:r>
        <w:rPr>
          <w:rFonts w:ascii="Arial" w:eastAsia="Arial" w:hAnsi="Arial" w:cs="Arial"/>
          <w:sz w:val="16"/>
          <w:szCs w:val="16"/>
        </w:rPr>
        <w:t>El cambio de acciones entre el Fondo y otros subfondos dentro de iShares II plc no está disponible para los inversores. Sólo los Participantes autorizados que tengan relación directa con el Fondo podrán cambiar de clase de acciones del Fondo, siempre que c</w:t>
      </w:r>
      <w:r>
        <w:rPr>
          <w:rFonts w:ascii="Arial" w:eastAsia="Arial" w:hAnsi="Arial" w:cs="Arial"/>
          <w:sz w:val="16"/>
          <w:szCs w:val="16"/>
        </w:rPr>
        <w:t>umplan determinadas condiciones del folleto del Fondo.</w:t>
      </w:r>
    </w:p>
    <w:p w14:paraId="04EEEB38" w14:textId="77777777" w:rsidR="00C96D82" w:rsidRDefault="00C33FD3">
      <w:pPr>
        <w:spacing w:line="20" w:lineRule="exact"/>
        <w:rPr>
          <w:sz w:val="20"/>
          <w:szCs w:val="20"/>
        </w:rPr>
      </w:pPr>
      <w:r>
        <w:rPr>
          <w:noProof/>
          <w:sz w:val="20"/>
          <w:szCs w:val="20"/>
        </w:rPr>
        <w:drawing>
          <wp:anchor distT="0" distB="0" distL="114300" distR="114300" simplePos="0" relativeHeight="251673088" behindDoc="1" locked="0" layoutInCell="0" allowOverlap="1" wp14:anchorId="4E0C32CA" wp14:editId="07777777">
            <wp:simplePos x="0" y="0"/>
            <wp:positionH relativeFrom="column">
              <wp:posOffset>2540</wp:posOffset>
            </wp:positionH>
            <wp:positionV relativeFrom="paragraph">
              <wp:posOffset>-243205</wp:posOffset>
            </wp:positionV>
            <wp:extent cx="45720" cy="77470"/>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2496F8DA" w14:textId="77777777" w:rsidR="00C96D82" w:rsidRDefault="00C33FD3">
      <w:pPr>
        <w:spacing w:line="366" w:lineRule="auto"/>
        <w:ind w:left="160" w:right="100"/>
        <w:rPr>
          <w:sz w:val="20"/>
          <w:szCs w:val="20"/>
        </w:rPr>
      </w:pPr>
      <w:r>
        <w:rPr>
          <w:rFonts w:ascii="Arial" w:eastAsia="Arial" w:hAnsi="Arial" w:cs="Arial"/>
          <w:sz w:val="15"/>
          <w:szCs w:val="15"/>
        </w:rPr>
        <w:t>La Política de Remuneración de la Sociedad de Gestión, que describe cómo se determinan y conceden la remuneración y las prestaciones, y los acuerdos de gobernanza asociados, está disponible en www.bl</w:t>
      </w:r>
      <w:r>
        <w:rPr>
          <w:rFonts w:ascii="Arial" w:eastAsia="Arial" w:hAnsi="Arial" w:cs="Arial"/>
          <w:sz w:val="15"/>
          <w:szCs w:val="15"/>
        </w:rPr>
        <w:t>ackrock.com/Remunerationpolicy o a petición del domicilio social de la Sociedad de Gestión.</w:t>
      </w:r>
    </w:p>
    <w:p w14:paraId="334A1B34" w14:textId="77777777" w:rsidR="00C96D82" w:rsidRDefault="00C33FD3">
      <w:pPr>
        <w:spacing w:line="20" w:lineRule="exact"/>
        <w:rPr>
          <w:sz w:val="20"/>
          <w:szCs w:val="20"/>
        </w:rPr>
      </w:pPr>
      <w:r>
        <w:rPr>
          <w:noProof/>
          <w:sz w:val="20"/>
          <w:szCs w:val="20"/>
        </w:rPr>
        <w:drawing>
          <wp:anchor distT="0" distB="0" distL="114300" distR="114300" simplePos="0" relativeHeight="251674112" behindDoc="1" locked="0" layoutInCell="0" allowOverlap="1" wp14:anchorId="14DAC45B" wp14:editId="07777777">
            <wp:simplePos x="0" y="0"/>
            <wp:positionH relativeFrom="column">
              <wp:posOffset>5673090</wp:posOffset>
            </wp:positionH>
            <wp:positionV relativeFrom="paragraph">
              <wp:posOffset>1846580</wp:posOffset>
            </wp:positionV>
            <wp:extent cx="1097280" cy="45720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srcRect/>
                    <a:stretch>
                      <a:fillRect/>
                    </a:stretch>
                  </pic:blipFill>
                  <pic:spPr bwMode="auto">
                    <a:xfrm>
                      <a:off x="0" y="0"/>
                      <a:ext cx="1097280" cy="457200"/>
                    </a:xfrm>
                    <a:prstGeom prst="rect">
                      <a:avLst/>
                    </a:prstGeom>
                    <a:noFill/>
                  </pic:spPr>
                </pic:pic>
              </a:graphicData>
            </a:graphic>
          </wp:anchor>
        </w:drawing>
      </w:r>
      <w:r>
        <w:rPr>
          <w:noProof/>
          <w:sz w:val="20"/>
          <w:szCs w:val="20"/>
        </w:rPr>
        <w:drawing>
          <wp:anchor distT="0" distB="0" distL="114300" distR="114300" simplePos="0" relativeHeight="251675136" behindDoc="1" locked="0" layoutInCell="0" allowOverlap="1" wp14:anchorId="04353401" wp14:editId="07777777">
            <wp:simplePos x="0" y="0"/>
            <wp:positionH relativeFrom="column">
              <wp:posOffset>2540</wp:posOffset>
            </wp:positionH>
            <wp:positionV relativeFrom="paragraph">
              <wp:posOffset>-283210</wp:posOffset>
            </wp:positionV>
            <wp:extent cx="45720" cy="7747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srcRect/>
                    <a:stretch>
                      <a:fillRect/>
                    </a:stretch>
                  </pic:blipFill>
                  <pic:spPr bwMode="auto">
                    <a:xfrm>
                      <a:off x="0" y="0"/>
                      <a:ext cx="45720" cy="77470"/>
                    </a:xfrm>
                    <a:prstGeom prst="rect">
                      <a:avLst/>
                    </a:prstGeom>
                    <a:noFill/>
                  </pic:spPr>
                </pic:pic>
              </a:graphicData>
            </a:graphic>
          </wp:anchor>
        </w:drawing>
      </w:r>
    </w:p>
    <w:p w14:paraId="464FCBC1" w14:textId="77777777" w:rsidR="00C96D82" w:rsidRDefault="00C96D82">
      <w:pPr>
        <w:spacing w:line="200" w:lineRule="exact"/>
        <w:rPr>
          <w:sz w:val="20"/>
          <w:szCs w:val="20"/>
        </w:rPr>
      </w:pPr>
    </w:p>
    <w:p w14:paraId="5C8C6B09" w14:textId="77777777" w:rsidR="00C96D82" w:rsidRDefault="00C96D82">
      <w:pPr>
        <w:spacing w:line="200" w:lineRule="exact"/>
        <w:rPr>
          <w:sz w:val="20"/>
          <w:szCs w:val="20"/>
        </w:rPr>
      </w:pPr>
    </w:p>
    <w:p w14:paraId="3382A365" w14:textId="77777777" w:rsidR="00C96D82" w:rsidRDefault="00C96D82">
      <w:pPr>
        <w:spacing w:line="200" w:lineRule="exact"/>
        <w:rPr>
          <w:sz w:val="20"/>
          <w:szCs w:val="20"/>
        </w:rPr>
      </w:pPr>
    </w:p>
    <w:p w14:paraId="5C71F136" w14:textId="77777777" w:rsidR="00C96D82" w:rsidRDefault="00C96D82">
      <w:pPr>
        <w:spacing w:line="200" w:lineRule="exact"/>
        <w:rPr>
          <w:sz w:val="20"/>
          <w:szCs w:val="20"/>
        </w:rPr>
      </w:pPr>
    </w:p>
    <w:p w14:paraId="62199465" w14:textId="77777777" w:rsidR="00C96D82" w:rsidRDefault="00C96D82">
      <w:pPr>
        <w:spacing w:line="200" w:lineRule="exact"/>
        <w:rPr>
          <w:sz w:val="20"/>
          <w:szCs w:val="20"/>
        </w:rPr>
      </w:pPr>
    </w:p>
    <w:p w14:paraId="0DA123B1" w14:textId="77777777" w:rsidR="00C96D82" w:rsidRDefault="00C96D82">
      <w:pPr>
        <w:spacing w:line="200" w:lineRule="exact"/>
        <w:rPr>
          <w:sz w:val="20"/>
          <w:szCs w:val="20"/>
        </w:rPr>
      </w:pPr>
    </w:p>
    <w:p w14:paraId="4C4CEA3D" w14:textId="77777777" w:rsidR="00C96D82" w:rsidRDefault="00C96D82">
      <w:pPr>
        <w:spacing w:line="200" w:lineRule="exact"/>
        <w:rPr>
          <w:sz w:val="20"/>
          <w:szCs w:val="20"/>
        </w:rPr>
      </w:pPr>
    </w:p>
    <w:p w14:paraId="50895670" w14:textId="77777777" w:rsidR="00C96D82" w:rsidRDefault="00C96D82">
      <w:pPr>
        <w:spacing w:line="200" w:lineRule="exact"/>
        <w:rPr>
          <w:sz w:val="20"/>
          <w:szCs w:val="20"/>
        </w:rPr>
      </w:pPr>
    </w:p>
    <w:p w14:paraId="38C1F859" w14:textId="77777777" w:rsidR="00C96D82" w:rsidRDefault="00C96D82">
      <w:pPr>
        <w:spacing w:line="200" w:lineRule="exact"/>
        <w:rPr>
          <w:sz w:val="20"/>
          <w:szCs w:val="20"/>
        </w:rPr>
      </w:pPr>
    </w:p>
    <w:p w14:paraId="0C8FE7CE" w14:textId="77777777" w:rsidR="00C96D82" w:rsidRDefault="00C96D82">
      <w:pPr>
        <w:spacing w:line="200" w:lineRule="exact"/>
        <w:rPr>
          <w:sz w:val="20"/>
          <w:szCs w:val="20"/>
        </w:rPr>
      </w:pPr>
    </w:p>
    <w:p w14:paraId="41004F19" w14:textId="77777777" w:rsidR="00C96D82" w:rsidRDefault="00C96D82">
      <w:pPr>
        <w:spacing w:line="200" w:lineRule="exact"/>
        <w:rPr>
          <w:sz w:val="20"/>
          <w:szCs w:val="20"/>
        </w:rPr>
      </w:pPr>
    </w:p>
    <w:p w14:paraId="67C0C651" w14:textId="77777777" w:rsidR="00C96D82" w:rsidRDefault="00C96D82">
      <w:pPr>
        <w:spacing w:line="200" w:lineRule="exact"/>
        <w:rPr>
          <w:sz w:val="20"/>
          <w:szCs w:val="20"/>
        </w:rPr>
      </w:pPr>
    </w:p>
    <w:p w14:paraId="308D56CC" w14:textId="77777777" w:rsidR="00C96D82" w:rsidRDefault="00C96D82">
      <w:pPr>
        <w:spacing w:line="200" w:lineRule="exact"/>
        <w:rPr>
          <w:sz w:val="20"/>
          <w:szCs w:val="20"/>
        </w:rPr>
      </w:pPr>
    </w:p>
    <w:p w14:paraId="797E50C6" w14:textId="77777777" w:rsidR="00C96D82" w:rsidRDefault="00C96D82">
      <w:pPr>
        <w:spacing w:line="302" w:lineRule="exact"/>
        <w:rPr>
          <w:sz w:val="20"/>
          <w:szCs w:val="20"/>
        </w:rPr>
      </w:pPr>
    </w:p>
    <w:p w14:paraId="42CBDC6B" w14:textId="77777777" w:rsidR="00C96D82" w:rsidRDefault="00C33FD3">
      <w:pPr>
        <w:spacing w:line="325" w:lineRule="auto"/>
        <w:ind w:right="2740"/>
        <w:rPr>
          <w:sz w:val="20"/>
          <w:szCs w:val="20"/>
        </w:rPr>
      </w:pPr>
      <w:r>
        <w:rPr>
          <w:rFonts w:ascii="Arial" w:eastAsia="Arial" w:hAnsi="Arial" w:cs="Arial"/>
          <w:sz w:val="14"/>
          <w:szCs w:val="14"/>
        </w:rPr>
        <w:t>Este Fondo y su gestor, BlackRock Asset Management Ireland Limited, están autorizados en Irlanda y regulados por el Central Bank of Ireland. Esta i</w:t>
      </w:r>
      <w:r>
        <w:rPr>
          <w:rFonts w:ascii="Arial" w:eastAsia="Arial" w:hAnsi="Arial" w:cs="Arial"/>
          <w:sz w:val="14"/>
          <w:szCs w:val="14"/>
        </w:rPr>
        <w:t>nformación clave para el inversor es exacta al 26 de enero de 2023</w:t>
      </w:r>
    </w:p>
    <w:sectPr w:rsidR="00C96D82">
      <w:type w:val="continuous"/>
      <w:pgSz w:w="11900" w:h="16838"/>
      <w:pgMar w:top="609" w:right="626" w:bottom="0" w:left="620" w:header="0" w:footer="0" w:gutter="0"/>
      <w:cols w:space="720" w:equalWidth="0">
        <w:col w:w="106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E5A76"/>
    <w:multiLevelType w:val="hybridMultilevel"/>
    <w:tmpl w:val="FFFFFFFF"/>
    <w:lvl w:ilvl="0" w:tplc="616AB92C">
      <w:start w:val="1"/>
      <w:numFmt w:val="bullet"/>
      <w:lvlText w:val="-"/>
      <w:lvlJc w:val="left"/>
    </w:lvl>
    <w:lvl w:ilvl="1" w:tplc="78805D6E">
      <w:numFmt w:val="decimal"/>
      <w:lvlText w:val=""/>
      <w:lvlJc w:val="left"/>
    </w:lvl>
    <w:lvl w:ilvl="2" w:tplc="C40458C4">
      <w:numFmt w:val="decimal"/>
      <w:lvlText w:val=""/>
      <w:lvlJc w:val="left"/>
    </w:lvl>
    <w:lvl w:ilvl="3" w:tplc="BB76221C">
      <w:numFmt w:val="decimal"/>
      <w:lvlText w:val=""/>
      <w:lvlJc w:val="left"/>
    </w:lvl>
    <w:lvl w:ilvl="4" w:tplc="F606FA46">
      <w:numFmt w:val="decimal"/>
      <w:lvlText w:val=""/>
      <w:lvlJc w:val="left"/>
    </w:lvl>
    <w:lvl w:ilvl="5" w:tplc="F7E0F082">
      <w:numFmt w:val="decimal"/>
      <w:lvlText w:val=""/>
      <w:lvlJc w:val="left"/>
    </w:lvl>
    <w:lvl w:ilvl="6" w:tplc="2BC6CF4E">
      <w:numFmt w:val="decimal"/>
      <w:lvlText w:val=""/>
      <w:lvlJc w:val="left"/>
    </w:lvl>
    <w:lvl w:ilvl="7" w:tplc="80768F06">
      <w:numFmt w:val="decimal"/>
      <w:lvlText w:val=""/>
      <w:lvlJc w:val="left"/>
    </w:lvl>
    <w:lvl w:ilvl="8" w:tplc="3CAA9392">
      <w:numFmt w:val="decimal"/>
      <w:lvlText w:val=""/>
      <w:lvlJc w:val="left"/>
    </w:lvl>
  </w:abstractNum>
  <w:abstractNum w:abstractNumId="1" w15:restartNumberingAfterBreak="0">
    <w:nsid w:val="3087D6D8"/>
    <w:multiLevelType w:val="hybridMultilevel"/>
    <w:tmpl w:val="FFFFFFFF"/>
    <w:lvl w:ilvl="0" w:tplc="BD5E6C3E">
      <w:start w:val="1"/>
      <w:numFmt w:val="bullet"/>
      <w:lvlText w:val="†"/>
      <w:lvlJc w:val="left"/>
    </w:lvl>
    <w:lvl w:ilvl="1" w:tplc="20362654">
      <w:numFmt w:val="decimal"/>
      <w:lvlText w:val=""/>
      <w:lvlJc w:val="left"/>
    </w:lvl>
    <w:lvl w:ilvl="2" w:tplc="D0783B9E">
      <w:numFmt w:val="decimal"/>
      <w:lvlText w:val=""/>
      <w:lvlJc w:val="left"/>
    </w:lvl>
    <w:lvl w:ilvl="3" w:tplc="9C18F398">
      <w:numFmt w:val="decimal"/>
      <w:lvlText w:val=""/>
      <w:lvlJc w:val="left"/>
    </w:lvl>
    <w:lvl w:ilvl="4" w:tplc="9C2A64FC">
      <w:numFmt w:val="decimal"/>
      <w:lvlText w:val=""/>
      <w:lvlJc w:val="left"/>
    </w:lvl>
    <w:lvl w:ilvl="5" w:tplc="A57E7FC8">
      <w:numFmt w:val="decimal"/>
      <w:lvlText w:val=""/>
      <w:lvlJc w:val="left"/>
    </w:lvl>
    <w:lvl w:ilvl="6" w:tplc="C2A6EA82">
      <w:numFmt w:val="decimal"/>
      <w:lvlText w:val=""/>
      <w:lvlJc w:val="left"/>
    </w:lvl>
    <w:lvl w:ilvl="7" w:tplc="194028A0">
      <w:numFmt w:val="decimal"/>
      <w:lvlText w:val=""/>
      <w:lvlJc w:val="left"/>
    </w:lvl>
    <w:lvl w:ilvl="8" w:tplc="F75416BA">
      <w:numFmt w:val="decimal"/>
      <w:lvlText w:val=""/>
      <w:lvlJc w:val="left"/>
    </w:lvl>
  </w:abstractNum>
  <w:abstractNum w:abstractNumId="2" w15:restartNumberingAfterBreak="0">
    <w:nsid w:val="384EEBFC"/>
    <w:multiLevelType w:val="hybridMultilevel"/>
    <w:tmpl w:val="FFFFFFFF"/>
    <w:lvl w:ilvl="0" w:tplc="BE2E8860">
      <w:start w:val="1"/>
      <w:numFmt w:val="bullet"/>
      <w:lvlText w:val="-"/>
      <w:lvlJc w:val="left"/>
    </w:lvl>
    <w:lvl w:ilvl="1" w:tplc="6CCC3F2A">
      <w:numFmt w:val="decimal"/>
      <w:lvlText w:val=""/>
      <w:lvlJc w:val="left"/>
    </w:lvl>
    <w:lvl w:ilvl="2" w:tplc="7D50DABE">
      <w:numFmt w:val="decimal"/>
      <w:lvlText w:val=""/>
      <w:lvlJc w:val="left"/>
    </w:lvl>
    <w:lvl w:ilvl="3" w:tplc="5DDE66FA">
      <w:numFmt w:val="decimal"/>
      <w:lvlText w:val=""/>
      <w:lvlJc w:val="left"/>
    </w:lvl>
    <w:lvl w:ilvl="4" w:tplc="FC6414E6">
      <w:numFmt w:val="decimal"/>
      <w:lvlText w:val=""/>
      <w:lvlJc w:val="left"/>
    </w:lvl>
    <w:lvl w:ilvl="5" w:tplc="3AAEA0AE">
      <w:numFmt w:val="decimal"/>
      <w:lvlText w:val=""/>
      <w:lvlJc w:val="left"/>
    </w:lvl>
    <w:lvl w:ilvl="6" w:tplc="B034533C">
      <w:numFmt w:val="decimal"/>
      <w:lvlText w:val=""/>
      <w:lvlJc w:val="left"/>
    </w:lvl>
    <w:lvl w:ilvl="7" w:tplc="B896E7A6">
      <w:numFmt w:val="decimal"/>
      <w:lvlText w:val=""/>
      <w:lvlJc w:val="left"/>
    </w:lvl>
    <w:lvl w:ilvl="8" w:tplc="7B48DA4E">
      <w:numFmt w:val="decimal"/>
      <w:lvlText w:val=""/>
      <w:lvlJc w:val="left"/>
    </w:lvl>
  </w:abstractNum>
  <w:abstractNum w:abstractNumId="3" w15:restartNumberingAfterBreak="0">
    <w:nsid w:val="771302D8"/>
    <w:multiLevelType w:val="hybridMultilevel"/>
    <w:tmpl w:val="FFFFFFFF"/>
    <w:lvl w:ilvl="0" w:tplc="AC8A9706">
      <w:start w:val="1"/>
      <w:numFmt w:val="bullet"/>
      <w:lvlText w:val="**"/>
      <w:lvlJc w:val="left"/>
    </w:lvl>
    <w:lvl w:ilvl="1" w:tplc="46BC2A2E">
      <w:numFmt w:val="decimal"/>
      <w:lvlText w:val=""/>
      <w:lvlJc w:val="left"/>
    </w:lvl>
    <w:lvl w:ilvl="2" w:tplc="8A8468AA">
      <w:numFmt w:val="decimal"/>
      <w:lvlText w:val=""/>
      <w:lvlJc w:val="left"/>
    </w:lvl>
    <w:lvl w:ilvl="3" w:tplc="C7024EDA">
      <w:numFmt w:val="decimal"/>
      <w:lvlText w:val=""/>
      <w:lvlJc w:val="left"/>
    </w:lvl>
    <w:lvl w:ilvl="4" w:tplc="5FB64392">
      <w:numFmt w:val="decimal"/>
      <w:lvlText w:val=""/>
      <w:lvlJc w:val="left"/>
    </w:lvl>
    <w:lvl w:ilvl="5" w:tplc="C48CE64C">
      <w:numFmt w:val="decimal"/>
      <w:lvlText w:val=""/>
      <w:lvlJc w:val="left"/>
    </w:lvl>
    <w:lvl w:ilvl="6" w:tplc="A028CB9A">
      <w:numFmt w:val="decimal"/>
      <w:lvlText w:val=""/>
      <w:lvlJc w:val="left"/>
    </w:lvl>
    <w:lvl w:ilvl="7" w:tplc="73DC2ED0">
      <w:numFmt w:val="decimal"/>
      <w:lvlText w:val=""/>
      <w:lvlJc w:val="left"/>
    </w:lvl>
    <w:lvl w:ilvl="8" w:tplc="6E566D60">
      <w:numFmt w:val="decimal"/>
      <w:lvlText w:val=""/>
      <w:lvlJc w:val="left"/>
    </w:lvl>
  </w:abstractNum>
  <w:num w:numId="1" w16cid:durableId="1395589716">
    <w:abstractNumId w:val="0"/>
  </w:num>
  <w:num w:numId="2" w16cid:durableId="236672159">
    <w:abstractNumId w:val="2"/>
  </w:num>
  <w:num w:numId="3" w16cid:durableId="981694834">
    <w:abstractNumId w:val="3"/>
  </w:num>
  <w:num w:numId="4" w16cid:durableId="455025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D82"/>
    <w:rsid w:val="00C33FD3"/>
    <w:rsid w:val="00C96D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87DF1CD"/>
  <w15:docId w15:val="{3072C030-C8BF-423C-A2CA-BECB6DCF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1796</Words>
  <Characters>9883</Characters>
  <Application>Microsoft Office Word</Application>
  <DocSecurity>0</DocSecurity>
  <Lines>82</Lines>
  <Paragraphs>23</Paragraphs>
  <ScaleCrop>false</ScaleCrop>
  <Company/>
  <LinksUpToDate>false</LinksUpToDate>
  <CharactersWithSpaces>11656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Delgado Eladio (freedomfinance.eu)</cp:lastModifiedBy>
  <cp:revision>2</cp:revision>
  <dcterms:created xsi:type="dcterms:W3CDTF">2023-06-14T14:37:00Z</dcterms:created>
  <dcterms:modified xsi:type="dcterms:W3CDTF">2023-06-14T14:37:00Z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1-bc88714345d2_Enabled">
    <vt:lpwstr>true</vt:lpwstr>
  </property>
  <property fmtid="{D5CDD505-2E9C-101B-9397-08002B2CF9AE}" pid="3" name="MSIP_Label_defa4170-0d19-0005-0001-bc88714345d2_SetDate">
    <vt:lpwstr>2023-06-14T14:37:31Z</vt:lpwstr>
  </property>
  <property fmtid="{D5CDD505-2E9C-101B-9397-08002B2CF9AE}" pid="4" name="MSIP_Label_defa4170-0d19-0005-0001-bc88714345d2_Method">
    <vt:lpwstr>Standard</vt:lpwstr>
  </property>
  <property fmtid="{D5CDD505-2E9C-101B-9397-08002B2CF9AE}" pid="5" name="MSIP_Label_defa4170-0d19-0005-0001-bc88714345d2_Name">
    <vt:lpwstr>defa4170-0d19-0005-0001-bc88714345d2</vt:lpwstr>
  </property>
  <property fmtid="{D5CDD505-2E9C-101B-9397-08002B2CF9AE}" pid="6" name="MSIP_Label_defa4170-0d19-0005-0001-bc88714345d2_SiteId">
    <vt:lpwstr>7470e6aa-7ba3-459b-b601-e987fc0a153a</vt:lpwstr>
  </property>
  <property fmtid="{D5CDD505-2E9C-101B-9397-08002B2CF9AE}" pid="7" name="MSIP_Label_defa4170-0d19-0005-0001-bc88714345d2_ActionId">
    <vt:lpwstr>cb063eaf-f64e-4a52-8f77-96d929c62d6c</vt:lpwstr>
  </property>
  <property fmtid="{D5CDD505-2E9C-101B-9397-08002B2CF9AE}" pid="8" name="MSIP_Label_defa4170-0d19-0005-0001-bc88714345d2_ContentBits">
    <vt:lpwstr>0</vt:lpwstr>
  </property>
</Properties>
</file>